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37F8A" w14:textId="77777777" w:rsidR="00B24A7C" w:rsidRDefault="00B24A7C" w:rsidP="00B24A7C">
      <w:pPr>
        <w:pStyle w:val="Heading1"/>
        <w:spacing w:before="170"/>
        <w:ind w:left="0"/>
      </w:pPr>
      <w:r>
        <w:rPr>
          <w:color w:val="337AB7"/>
        </w:rPr>
        <w:t xml:space="preserve">Ivacaftor Nanoemulsion: Characterization and In-vitro studies </w:t>
      </w:r>
    </w:p>
    <w:p w14:paraId="550CED1E" w14:textId="21BE65E7" w:rsidR="0078738A" w:rsidRDefault="0078738A" w:rsidP="005973B9">
      <w:pPr>
        <w:pStyle w:val="BodyText"/>
        <w:spacing w:before="73" w:line="198" w:lineRule="exact"/>
        <w:ind w:left="100" w:right="5987"/>
        <w:rPr>
          <w:rFonts w:ascii="Arial"/>
        </w:rPr>
      </w:pPr>
      <w:r>
        <w:rPr>
          <w:rFonts w:ascii="Arial"/>
        </w:rPr>
        <w:t xml:space="preserve">Dr </w:t>
      </w:r>
      <w:r w:rsidR="0013183D">
        <w:rPr>
          <w:rFonts w:ascii="Arial"/>
        </w:rPr>
        <w:t xml:space="preserve">Bhupendra G. Prajapati, </w:t>
      </w:r>
      <w:r w:rsidR="005973B9">
        <w:rPr>
          <w:rFonts w:ascii="Arial"/>
        </w:rPr>
        <w:t xml:space="preserve">PhD, </w:t>
      </w:r>
      <w:bookmarkStart w:id="0" w:name="_Hlk103803981"/>
      <w:r w:rsidR="0013183D">
        <w:rPr>
          <w:rFonts w:ascii="Arial"/>
        </w:rPr>
        <w:t>Ganpat University, India</w:t>
      </w:r>
      <w:bookmarkEnd w:id="0"/>
    </w:p>
    <w:p w14:paraId="6BF17C3A" w14:textId="7F190096" w:rsidR="005973B9" w:rsidRDefault="0013183D" w:rsidP="0013183D">
      <w:pPr>
        <w:pStyle w:val="BodyText"/>
        <w:spacing w:before="73" w:line="198" w:lineRule="exact"/>
        <w:ind w:right="5987"/>
        <w:rPr>
          <w:rFonts w:ascii="Arial"/>
        </w:rPr>
      </w:pPr>
      <w:r>
        <w:rPr>
          <w:rFonts w:ascii="Arial"/>
        </w:rPr>
        <w:t xml:space="preserve">  </w:t>
      </w:r>
      <w:r w:rsidR="00B24A7C">
        <w:rPr>
          <w:rFonts w:ascii="Arial"/>
        </w:rPr>
        <w:t>Mr. Akshay Parihar</w:t>
      </w:r>
      <w:r w:rsidR="00F72E88">
        <w:rPr>
          <w:rFonts w:ascii="Arial"/>
        </w:rPr>
        <w:t xml:space="preserve">, </w:t>
      </w:r>
      <w:proofErr w:type="spellStart"/>
      <w:proofErr w:type="gramStart"/>
      <w:r w:rsidR="00B44C89">
        <w:rPr>
          <w:rFonts w:ascii="Arial"/>
        </w:rPr>
        <w:t>M</w:t>
      </w:r>
      <w:r w:rsidR="00714FB5">
        <w:rPr>
          <w:rFonts w:ascii="Arial"/>
        </w:rPr>
        <w:t>.</w:t>
      </w:r>
      <w:r w:rsidR="00B44C89">
        <w:rPr>
          <w:rFonts w:ascii="Arial"/>
        </w:rPr>
        <w:t>Pharm</w:t>
      </w:r>
      <w:proofErr w:type="spellEnd"/>
      <w:proofErr w:type="gramEnd"/>
      <w:r w:rsidR="00B44C89">
        <w:rPr>
          <w:rFonts w:ascii="Arial"/>
        </w:rPr>
        <w:t xml:space="preserve">, </w:t>
      </w:r>
      <w:r w:rsidR="00F72E88" w:rsidRPr="00F72E88">
        <w:rPr>
          <w:rFonts w:ascii="Arial"/>
        </w:rPr>
        <w:t>Ganpat University, India</w:t>
      </w:r>
    </w:p>
    <w:p w14:paraId="2A379F3A" w14:textId="77777777" w:rsidR="00AE3E37" w:rsidRDefault="00AE3E37">
      <w:pPr>
        <w:pStyle w:val="BodyText"/>
        <w:rPr>
          <w:rFonts w:ascii="Arial"/>
          <w:sz w:val="20"/>
        </w:rPr>
      </w:pPr>
    </w:p>
    <w:p w14:paraId="32E44C1D" w14:textId="77777777" w:rsidR="00AE3E37" w:rsidRDefault="00AE3E37">
      <w:pPr>
        <w:pStyle w:val="BodyText"/>
        <w:spacing w:before="3"/>
        <w:rPr>
          <w:rFonts w:ascii="Arial"/>
          <w:sz w:val="21"/>
        </w:rPr>
      </w:pPr>
    </w:p>
    <w:p w14:paraId="7B48B86B"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2FD7D071" w14:textId="77777777" w:rsidR="00AE3E37" w:rsidRDefault="00A9710C">
      <w:pPr>
        <w:pStyle w:val="Heading3"/>
        <w:spacing w:before="147"/>
        <w:jc w:val="both"/>
      </w:pPr>
      <w:r>
        <w:rPr>
          <w:color w:val="BF5A14"/>
        </w:rPr>
        <w:t>Abstract</w:t>
      </w:r>
      <w:r w:rsidR="00404E5B">
        <w:rPr>
          <w:color w:val="BF5A14"/>
        </w:rPr>
        <w:t xml:space="preserve"> (300 word limit)</w:t>
      </w:r>
    </w:p>
    <w:p w14:paraId="0564445D" w14:textId="49F18327" w:rsidR="00AE3E37" w:rsidRDefault="00B26F83">
      <w:pPr>
        <w:pStyle w:val="BodyText"/>
        <w:spacing w:before="90" w:line="280" w:lineRule="auto"/>
        <w:ind w:left="100"/>
        <w:jc w:val="both"/>
      </w:pPr>
      <w:r w:rsidRPr="00B26F83">
        <w:t xml:space="preserve">Biocompatible lipid matrices are used for the solubility enhancement of nanotherapeutics which are poorly water soluble. Nanoemulsions helps in improving the drug stability its bioavailability. Targeted delivery of therapeutics can be achieved with this type of formulation approach. The current research work is focused on increasing the solubility of BCS class II drug, which is having very low solubility and variable bioavailability with different individuals. Solubility of the drug in lipid, surfactant and cosurfactant was identified with the help of solubility studies and it was found that </w:t>
      </w:r>
      <w:proofErr w:type="spellStart"/>
      <w:r w:rsidRPr="00B26F83">
        <w:t>Transcutol</w:t>
      </w:r>
      <w:proofErr w:type="spellEnd"/>
      <w:r w:rsidRPr="00B26F83">
        <w:t xml:space="preserve">-p showed significant solubility to be used as co-surfactant. Tween 20 was selected as lipid while Capmul was selected as surfactant because they were able to exhibit highest drug solubility among the screened surfactants, co-surfactants, and oils. Nanoemulsion of drug was formulated with the help of high-speed homogenization technique. The observed Zeta potential was -15.75mv. The In-vitro studies showed that NE1 was able to exhibit 97.55% drug release in a span of 45 minutes. We were able to increase the solubility of Ivacaftor </w:t>
      </w:r>
      <w:proofErr w:type="gramStart"/>
      <w:r w:rsidRPr="00B26F83">
        <w:t>effectively.</w:t>
      </w:r>
      <w:r w:rsidR="00F72E88" w:rsidRPr="00F72E88">
        <w:t>.</w:t>
      </w:r>
      <w:proofErr w:type="gramEnd"/>
    </w:p>
    <w:p w14:paraId="729F57EF" w14:textId="73695AFC" w:rsidR="00AE3E37" w:rsidRDefault="00A9710C">
      <w:pPr>
        <w:pStyle w:val="Heading3"/>
        <w:spacing w:before="74"/>
      </w:pPr>
      <w:r>
        <w:rPr>
          <w:color w:val="BF5A14"/>
        </w:rPr>
        <w:t>Image</w:t>
      </w:r>
    </w:p>
    <w:p w14:paraId="65FD55D9" w14:textId="51414AA8" w:rsidR="00AE3E37" w:rsidRDefault="00F72E88">
      <w:pPr>
        <w:pStyle w:val="BodyText"/>
        <w:spacing w:before="2"/>
        <w:rPr>
          <w:noProof/>
          <w:lang w:val="en-IN" w:eastAsia="en-IN"/>
        </w:rPr>
      </w:pPr>
      <w:r w:rsidRPr="00F72E88">
        <w:rPr>
          <w:noProof/>
          <w:lang w:val="en-IN" w:eastAsia="en-IN"/>
        </w:rPr>
        <w:t xml:space="preserve"> </w:t>
      </w:r>
    </w:p>
    <w:p w14:paraId="4D13B207" w14:textId="77C7C7E1" w:rsidR="00870D98" w:rsidRDefault="00B26F83">
      <w:pPr>
        <w:pStyle w:val="BodyText"/>
        <w:spacing w:before="2"/>
        <w:rPr>
          <w:rFonts w:ascii="Arial"/>
          <w:b/>
          <w:sz w:val="16"/>
        </w:rPr>
      </w:pPr>
      <w:r w:rsidRPr="00996709">
        <w:rPr>
          <w:noProof/>
        </w:rPr>
        <w:drawing>
          <wp:inline distT="0" distB="0" distL="0" distR="0" wp14:anchorId="08BFC34B" wp14:editId="12D1055F">
            <wp:extent cx="3165475" cy="1582420"/>
            <wp:effectExtent l="0" t="0" r="0" b="0"/>
            <wp:docPr id="1" name="Picture 3" descr="Graphical user interface&#10;&#10;Description automatically generated with low confidence">
              <a:extLst xmlns:a="http://schemas.openxmlformats.org/drawingml/2006/main">
                <a:ext uri="{FF2B5EF4-FFF2-40B4-BE49-F238E27FC236}">
                  <a16:creationId xmlns:a16="http://schemas.microsoft.com/office/drawing/2014/main" id="{702645AA-F029-B8D5-8346-C5C21829445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Graphical user interface&#10;&#10;Description automatically generated with low confidence">
                      <a:extLst>
                        <a:ext uri="{FF2B5EF4-FFF2-40B4-BE49-F238E27FC236}">
                          <a16:creationId xmlns:a16="http://schemas.microsoft.com/office/drawing/2014/main" id="{702645AA-F029-B8D5-8346-C5C218294458}"/>
                        </a:ext>
                      </a:extLst>
                    </pic:cNvPr>
                    <pic:cNvPicPr>
                      <a:picLocks noChangeAspect="1"/>
                    </pic:cNvPicPr>
                  </pic:nvPicPr>
                  <pic:blipFill>
                    <a:blip r:embed="rId9"/>
                    <a:stretch>
                      <a:fillRect/>
                    </a:stretch>
                  </pic:blipFill>
                  <pic:spPr>
                    <a:xfrm>
                      <a:off x="0" y="0"/>
                      <a:ext cx="3165475" cy="1582420"/>
                    </a:xfrm>
                    <a:prstGeom prst="rect">
                      <a:avLst/>
                    </a:prstGeom>
                  </pic:spPr>
                </pic:pic>
              </a:graphicData>
            </a:graphic>
          </wp:inline>
        </w:drawing>
      </w:r>
    </w:p>
    <w:p w14:paraId="42D34092" w14:textId="18D61156" w:rsidR="005973B9" w:rsidRDefault="005973B9" w:rsidP="005973B9">
      <w:pPr>
        <w:spacing w:line="204" w:lineRule="exact"/>
        <w:rPr>
          <w:rFonts w:ascii="Arial"/>
          <w:b/>
          <w:sz w:val="20"/>
        </w:rPr>
      </w:pPr>
      <w:r>
        <w:rPr>
          <w:rFonts w:ascii="Arial"/>
          <w:b/>
          <w:color w:val="BF5A14"/>
          <w:sz w:val="20"/>
        </w:rPr>
        <w:t>Recent Publications (minimum 5)</w:t>
      </w:r>
    </w:p>
    <w:p w14:paraId="2137C7E4" w14:textId="0A39CB9E" w:rsidR="00286E85" w:rsidRPr="00286E85" w:rsidRDefault="00286E85" w:rsidP="00286E85">
      <w:pPr>
        <w:pStyle w:val="BodyText"/>
        <w:spacing w:before="85" w:line="216" w:lineRule="exact"/>
        <w:ind w:left="383" w:right="138" w:hanging="284"/>
        <w:jc w:val="both"/>
        <w:rPr>
          <w:rFonts w:ascii="Calibri" w:hAnsi="Calibri"/>
        </w:rPr>
      </w:pPr>
      <w:r w:rsidRPr="00286E85">
        <w:rPr>
          <w:rFonts w:ascii="Calibri" w:hAnsi="Calibri"/>
        </w:rPr>
        <w:t>1.</w:t>
      </w:r>
      <w:r w:rsidRPr="00286E85">
        <w:rPr>
          <w:rFonts w:ascii="Calibri" w:hAnsi="Calibri"/>
        </w:rPr>
        <w:tab/>
        <w:t xml:space="preserve">Bhattacharya, S., </w:t>
      </w:r>
      <w:proofErr w:type="spellStart"/>
      <w:r w:rsidRPr="00286E85">
        <w:rPr>
          <w:rFonts w:ascii="Calibri" w:hAnsi="Calibri"/>
        </w:rPr>
        <w:t>Saindane</w:t>
      </w:r>
      <w:proofErr w:type="spellEnd"/>
      <w:r w:rsidRPr="00286E85">
        <w:rPr>
          <w:rFonts w:ascii="Calibri" w:hAnsi="Calibri"/>
        </w:rPr>
        <w:t xml:space="preserve">, D., &amp; Prajapati, B. G. (2022). Liposomal Drug Delivery and Its Potential Impact </w:t>
      </w:r>
      <w:proofErr w:type="gramStart"/>
      <w:r w:rsidRPr="00286E85">
        <w:rPr>
          <w:rFonts w:ascii="Calibri" w:hAnsi="Calibri"/>
        </w:rPr>
        <w:t>On</w:t>
      </w:r>
      <w:proofErr w:type="gramEnd"/>
      <w:r w:rsidRPr="00286E85">
        <w:rPr>
          <w:rFonts w:ascii="Calibri" w:hAnsi="Calibri"/>
        </w:rPr>
        <w:t xml:space="preserve"> Cancer Research. Anti-cancer agents in medicinal chemistry, 10.2174/1871520622666220418141640. Advance online publication.</w:t>
      </w:r>
      <w:r w:rsidR="00FA5090">
        <w:rPr>
          <w:rFonts w:ascii="Calibri" w:hAnsi="Calibri"/>
        </w:rPr>
        <w:t xml:space="preserve"> </w:t>
      </w:r>
    </w:p>
    <w:p w14:paraId="73FC38F6" w14:textId="77777777" w:rsidR="00286E85" w:rsidRPr="00286E85" w:rsidRDefault="00286E85" w:rsidP="00286E85">
      <w:pPr>
        <w:pStyle w:val="BodyText"/>
        <w:spacing w:before="85" w:line="216" w:lineRule="exact"/>
        <w:ind w:left="383" w:right="138" w:hanging="284"/>
        <w:jc w:val="both"/>
        <w:rPr>
          <w:rFonts w:ascii="Calibri" w:hAnsi="Calibri"/>
        </w:rPr>
      </w:pPr>
      <w:r w:rsidRPr="00286E85">
        <w:rPr>
          <w:rFonts w:ascii="Calibri" w:hAnsi="Calibri"/>
        </w:rPr>
        <w:t>2.</w:t>
      </w:r>
      <w:r w:rsidRPr="00286E85">
        <w:rPr>
          <w:rFonts w:ascii="Calibri" w:hAnsi="Calibri"/>
        </w:rPr>
        <w:tab/>
        <w:t xml:space="preserve">Paliwal, H., Parihar, A., &amp; Prajapati, B. G. (2022). Current State-of-the-Art and New Trends in Self-Assembled Nanocarriers as Drug Delivery Systems. Front. </w:t>
      </w:r>
      <w:proofErr w:type="spellStart"/>
      <w:r w:rsidRPr="00286E85">
        <w:rPr>
          <w:rFonts w:ascii="Calibri" w:hAnsi="Calibri"/>
        </w:rPr>
        <w:t>Nanotechnol</w:t>
      </w:r>
      <w:proofErr w:type="spellEnd"/>
      <w:r w:rsidRPr="00286E85">
        <w:rPr>
          <w:rFonts w:ascii="Calibri" w:hAnsi="Calibri"/>
        </w:rPr>
        <w:t xml:space="preserve">. 4: 836674. </w:t>
      </w:r>
      <w:proofErr w:type="spellStart"/>
      <w:r w:rsidRPr="00286E85">
        <w:rPr>
          <w:rFonts w:ascii="Calibri" w:hAnsi="Calibri"/>
        </w:rPr>
        <w:t>doi</w:t>
      </w:r>
      <w:proofErr w:type="spellEnd"/>
      <w:r w:rsidRPr="00286E85">
        <w:rPr>
          <w:rFonts w:ascii="Calibri" w:hAnsi="Calibri"/>
        </w:rPr>
        <w:t>: 10.3389/</w:t>
      </w:r>
      <w:proofErr w:type="spellStart"/>
      <w:r w:rsidRPr="00286E85">
        <w:rPr>
          <w:rFonts w:ascii="Calibri" w:hAnsi="Calibri"/>
        </w:rPr>
        <w:t>fnano</w:t>
      </w:r>
      <w:proofErr w:type="spellEnd"/>
      <w:r w:rsidRPr="00286E85">
        <w:rPr>
          <w:rFonts w:ascii="Calibri" w:hAnsi="Calibri"/>
        </w:rPr>
        <w:t>.</w:t>
      </w:r>
    </w:p>
    <w:p w14:paraId="2E222BFB" w14:textId="77777777" w:rsidR="00286E85" w:rsidRPr="00286E85" w:rsidRDefault="00286E85" w:rsidP="00286E85">
      <w:pPr>
        <w:pStyle w:val="BodyText"/>
        <w:spacing w:before="85" w:line="216" w:lineRule="exact"/>
        <w:ind w:left="383" w:right="138" w:hanging="284"/>
        <w:jc w:val="both"/>
        <w:rPr>
          <w:rFonts w:ascii="Calibri" w:hAnsi="Calibri"/>
        </w:rPr>
      </w:pPr>
      <w:r w:rsidRPr="00286E85">
        <w:rPr>
          <w:rFonts w:ascii="Calibri" w:hAnsi="Calibri"/>
        </w:rPr>
        <w:t>3.</w:t>
      </w:r>
      <w:r w:rsidRPr="00286E85">
        <w:rPr>
          <w:rFonts w:ascii="Calibri" w:hAnsi="Calibri"/>
        </w:rPr>
        <w:tab/>
        <w:t>Prajapati, B., Paliwal, H., &amp; Patel, J. (2022). Pharmacokinetics of Nanoparticle Systems for Pulmonary Delivery. In Pharmacokinetics and Pharmacodynamics of Nanoparticulate Drug Delivery Systems (pp. 347-364). Springer, Cham.</w:t>
      </w:r>
    </w:p>
    <w:p w14:paraId="6FFE0456" w14:textId="77777777" w:rsidR="00286E85" w:rsidRPr="00286E85" w:rsidRDefault="00286E85" w:rsidP="00286E85">
      <w:pPr>
        <w:pStyle w:val="BodyText"/>
        <w:spacing w:before="85" w:line="216" w:lineRule="exact"/>
        <w:ind w:left="383" w:right="138" w:hanging="284"/>
        <w:jc w:val="both"/>
        <w:rPr>
          <w:rFonts w:ascii="Calibri" w:hAnsi="Calibri"/>
        </w:rPr>
      </w:pPr>
      <w:r w:rsidRPr="00286E85">
        <w:rPr>
          <w:rFonts w:ascii="Calibri" w:hAnsi="Calibri"/>
        </w:rPr>
        <w:t>4.</w:t>
      </w:r>
      <w:r w:rsidRPr="00286E85">
        <w:rPr>
          <w:rFonts w:ascii="Calibri" w:hAnsi="Calibri"/>
        </w:rPr>
        <w:tab/>
        <w:t>Prajapati, B. G., Patel, H. P., &amp; Patel, J. K. (2022). Nanoparticle Pharmacokinetic Profiling In Vivo Using Magnetic Resonance Imaging. In Pharmacokinetics and Pharmacodynamics of Nanoparticulate Drug Delivery Systems (pp. 399-416). Springer, Cham.</w:t>
      </w:r>
    </w:p>
    <w:p w14:paraId="3F8501E5" w14:textId="7EF9545E" w:rsidR="005973B9" w:rsidRDefault="00286E85" w:rsidP="00286E85">
      <w:pPr>
        <w:pStyle w:val="BodyText"/>
        <w:spacing w:before="85" w:line="216" w:lineRule="exact"/>
        <w:ind w:left="383" w:right="138" w:hanging="284"/>
        <w:jc w:val="both"/>
        <w:rPr>
          <w:rFonts w:ascii="Calibri" w:hAnsi="Calibri"/>
        </w:rPr>
      </w:pPr>
      <w:r w:rsidRPr="00286E85">
        <w:rPr>
          <w:rFonts w:ascii="Calibri" w:hAnsi="Calibri"/>
        </w:rPr>
        <w:t>5.</w:t>
      </w:r>
      <w:r w:rsidRPr="00286E85">
        <w:rPr>
          <w:rFonts w:ascii="Calibri" w:hAnsi="Calibri"/>
        </w:rPr>
        <w:tab/>
        <w:t>Prajapati, B. G., Jivani, M., &amp; Paliwal, H. (2021). Formulation and optimization of topical nanoemulsion based gel of mometasone furoate using 32 full factorial design. Indian drugs, 58(06), 19.</w:t>
      </w:r>
    </w:p>
    <w:p w14:paraId="6CA69597" w14:textId="77777777" w:rsidR="00AE3E37" w:rsidRPr="008756E6" w:rsidRDefault="00AE3E37" w:rsidP="008756E6">
      <w:pPr>
        <w:tabs>
          <w:tab w:val="left" w:pos="384"/>
        </w:tabs>
        <w:ind w:right="117"/>
      </w:pPr>
    </w:p>
    <w:p w14:paraId="4DC5B52B"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4C42171" w14:textId="5CD16A7B" w:rsidR="00AE3E37" w:rsidRPr="00F25AE3" w:rsidRDefault="00D62425">
      <w:pPr>
        <w:pStyle w:val="BodyText"/>
        <w:rPr>
          <w:rFonts w:ascii="Calibri"/>
          <w:b/>
          <w:bCs/>
          <w:sz w:val="20"/>
        </w:rPr>
      </w:pPr>
      <w:r w:rsidRPr="00F25AE3">
        <w:rPr>
          <w:rFonts w:ascii="Calibri"/>
          <w:b/>
          <w:bCs/>
          <w:sz w:val="20"/>
        </w:rPr>
        <w:t xml:space="preserve">                 </w:t>
      </w:r>
      <w:r w:rsidR="00F25AE3" w:rsidRPr="00F25AE3">
        <w:rPr>
          <w:rFonts w:ascii="Calibri"/>
          <w:b/>
          <w:bCs/>
          <w:sz w:val="20"/>
        </w:rPr>
        <w:t>Figure 1: Method of Preparation</w:t>
      </w:r>
    </w:p>
    <w:p w14:paraId="13235AE7" w14:textId="77777777" w:rsidR="00C32BE8" w:rsidRPr="00D62425" w:rsidRDefault="00C32BE8">
      <w:pPr>
        <w:pStyle w:val="BodyText"/>
        <w:rPr>
          <w:rFonts w:ascii="Calibri"/>
          <w:b/>
          <w:sz w:val="20"/>
        </w:rPr>
      </w:pPr>
    </w:p>
    <w:p w14:paraId="6343B853" w14:textId="4E631261"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B198A9B" wp14:editId="4DE756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482A81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9C4F17F" w14:textId="2371824F" w:rsidR="00C32BE8" w:rsidRDefault="00C32BE8">
      <w:pPr>
        <w:pStyle w:val="BodyText"/>
        <w:spacing w:line="40" w:lineRule="exact"/>
        <w:ind w:left="2202"/>
        <w:rPr>
          <w:rFonts w:ascii="Calibri"/>
          <w:sz w:val="4"/>
        </w:rPr>
      </w:pPr>
    </w:p>
    <w:p w14:paraId="54A0DD20" w14:textId="3A4FF8F4" w:rsidR="00C32BE8" w:rsidRDefault="00C32BE8">
      <w:pPr>
        <w:pStyle w:val="BodyText"/>
        <w:spacing w:line="40" w:lineRule="exact"/>
        <w:ind w:left="2202"/>
        <w:rPr>
          <w:rFonts w:ascii="Calibri"/>
          <w:sz w:val="4"/>
        </w:rPr>
      </w:pPr>
    </w:p>
    <w:p w14:paraId="290E8ACC" w14:textId="2DEF8C00" w:rsidR="00C32BE8" w:rsidRDefault="00C32BE8">
      <w:pPr>
        <w:pStyle w:val="BodyText"/>
        <w:spacing w:line="40" w:lineRule="exact"/>
        <w:ind w:left="2202"/>
        <w:rPr>
          <w:rFonts w:ascii="Calibri"/>
          <w:sz w:val="4"/>
        </w:rPr>
      </w:pPr>
    </w:p>
    <w:p w14:paraId="59DAB84F" w14:textId="36DDA683" w:rsidR="00C32BE8" w:rsidRDefault="00C32BE8">
      <w:pPr>
        <w:pStyle w:val="BodyText"/>
        <w:spacing w:line="40" w:lineRule="exact"/>
        <w:ind w:left="2202"/>
        <w:rPr>
          <w:rFonts w:ascii="Calibri"/>
          <w:sz w:val="4"/>
        </w:rPr>
      </w:pPr>
    </w:p>
    <w:p w14:paraId="7049B412" w14:textId="77777777" w:rsidR="00C32BE8" w:rsidRDefault="00C32BE8">
      <w:pPr>
        <w:pStyle w:val="BodyText"/>
        <w:spacing w:line="40" w:lineRule="exact"/>
        <w:ind w:left="2202"/>
        <w:rPr>
          <w:rFonts w:ascii="Calibri"/>
          <w:sz w:val="4"/>
        </w:rPr>
      </w:pPr>
    </w:p>
    <w:p w14:paraId="380344E9" w14:textId="4327D78C" w:rsidR="00AE3E37" w:rsidRDefault="008756E6" w:rsidP="00404E5B">
      <w:pPr>
        <w:spacing w:before="92"/>
        <w:ind w:right="4234"/>
        <w:rPr>
          <w:rFonts w:ascii="Arial"/>
        </w:rPr>
      </w:pPr>
      <w:r>
        <w:rPr>
          <w:noProof/>
        </w:rPr>
        <w:t xml:space="preserve">              </w:t>
      </w:r>
      <w:r w:rsidR="00502F92">
        <w:rPr>
          <w:noProof/>
        </w:rPr>
        <w:drawing>
          <wp:inline distT="0" distB="0" distL="0" distR="0" wp14:anchorId="57847D0C" wp14:editId="73777CC6">
            <wp:extent cx="893843" cy="715993"/>
            <wp:effectExtent l="0" t="0" r="190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23021" cy="739365"/>
                    </a:xfrm>
                    <a:prstGeom prst="rect">
                      <a:avLst/>
                    </a:prstGeom>
                    <a:noFill/>
                    <a:ln>
                      <a:noFill/>
                    </a:ln>
                  </pic:spPr>
                </pic:pic>
              </a:graphicData>
            </a:graphic>
          </wp:inline>
        </w:drawing>
      </w:r>
      <w:r w:rsidR="00E85AE5">
        <w:rPr>
          <w:noProof/>
        </w:rPr>
        <w:t xml:space="preserve">    </w:t>
      </w:r>
      <w:r w:rsidR="00A9710C">
        <w:rPr>
          <w:rFonts w:ascii="Arial"/>
          <w:color w:val="BF5A14"/>
        </w:rPr>
        <w:t>Biography</w:t>
      </w:r>
    </w:p>
    <w:p w14:paraId="707762AD" w14:textId="4EE114D2" w:rsidR="00AE3E37" w:rsidRDefault="00502F92">
      <w:pPr>
        <w:spacing w:before="41" w:line="154" w:lineRule="exact"/>
        <w:ind w:left="213" w:right="231"/>
        <w:jc w:val="both"/>
        <w:rPr>
          <w:rFonts w:ascii="Arial"/>
          <w:sz w:val="14"/>
        </w:rPr>
      </w:pPr>
      <w:r w:rsidRPr="00502F92">
        <w:rPr>
          <w:rFonts w:ascii="Arial"/>
          <w:sz w:val="14"/>
        </w:rPr>
        <w:t xml:space="preserve">Dr. Bhupendra Prajapati is a Professor in Department of Pharmaceutics, Shree </w:t>
      </w:r>
      <w:proofErr w:type="spellStart"/>
      <w:r w:rsidRPr="00502F92">
        <w:rPr>
          <w:rFonts w:ascii="Arial"/>
          <w:sz w:val="14"/>
        </w:rPr>
        <w:t>S.</w:t>
      </w:r>
      <w:proofErr w:type="gramStart"/>
      <w:r w:rsidRPr="00502F92">
        <w:rPr>
          <w:rFonts w:ascii="Arial"/>
          <w:sz w:val="14"/>
        </w:rPr>
        <w:t>K.Patel</w:t>
      </w:r>
      <w:proofErr w:type="spellEnd"/>
      <w:proofErr w:type="gramEnd"/>
      <w:r w:rsidRPr="00502F92">
        <w:rPr>
          <w:rFonts w:ascii="Arial"/>
          <w:sz w:val="14"/>
        </w:rPr>
        <w:t xml:space="preserve"> College of Pharmaceutical Education and Research, Ganpat University, Gujarat, India. He has more than 20 years of academic and research experience, has published more than 100 research and review papers in international and national Journals. Under his editorial two book under process and he authored 20 book chapters in the field of novel drug delivery. He published two Indian patent and three </w:t>
      </w:r>
      <w:r w:rsidR="00A34DB4" w:rsidRPr="00502F92">
        <w:rPr>
          <w:rFonts w:ascii="Arial"/>
          <w:sz w:val="14"/>
        </w:rPr>
        <w:t>applications</w:t>
      </w:r>
      <w:r w:rsidRPr="00502F92">
        <w:rPr>
          <w:rFonts w:ascii="Arial"/>
          <w:sz w:val="14"/>
        </w:rPr>
        <w:t xml:space="preserve"> under evaluation. He is a reviewer in three high impact journals and is on the editorial board of several scientific </w:t>
      </w:r>
      <w:r w:rsidR="00A34DB4" w:rsidRPr="00502F92">
        <w:rPr>
          <w:rFonts w:ascii="Arial"/>
          <w:sz w:val="14"/>
        </w:rPr>
        <w:t>journals.</w:t>
      </w:r>
    </w:p>
    <w:p w14:paraId="2F11845B" w14:textId="7AF9FD15" w:rsidR="00AE3E37" w:rsidRDefault="00A9710C">
      <w:pPr>
        <w:spacing w:before="62"/>
        <w:ind w:left="4217" w:right="4235"/>
        <w:jc w:val="center"/>
        <w:rPr>
          <w:rFonts w:ascii="Arial"/>
          <w:sz w:val="14"/>
        </w:rPr>
      </w:pPr>
      <w:r>
        <w:rPr>
          <w:rFonts w:ascii="Arial"/>
          <w:sz w:val="14"/>
        </w:rPr>
        <w:t xml:space="preserve">Email: </w:t>
      </w:r>
      <w:hyperlink r:id="rId11" w:history="1">
        <w:r w:rsidR="00A34DB4" w:rsidRPr="009B08B4">
          <w:rPr>
            <w:rStyle w:val="Hyperlink"/>
            <w:rFonts w:ascii="Arial"/>
            <w:sz w:val="14"/>
          </w:rPr>
          <w:t>bhupen27@gmail.com</w:t>
        </w:r>
      </w:hyperlink>
    </w:p>
    <w:p w14:paraId="4E0F5420"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A289D0B" wp14:editId="031D998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062C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18005DD" w14:textId="4B776988" w:rsidR="00AE3E37" w:rsidRDefault="00AE3E37">
      <w:pPr>
        <w:rPr>
          <w:rFonts w:ascii="Minion Pro"/>
          <w:sz w:val="24"/>
        </w:rPr>
        <w:sectPr w:rsidR="00AE3E37">
          <w:type w:val="continuous"/>
          <w:pgSz w:w="11910" w:h="16840"/>
          <w:pgMar w:top="1740" w:right="600" w:bottom="840" w:left="620" w:header="720" w:footer="720" w:gutter="0"/>
          <w:cols w:space="720"/>
        </w:sectPr>
      </w:pPr>
    </w:p>
    <w:p w14:paraId="276DB366" w14:textId="4679D89A"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F5F7A" w14:textId="77777777" w:rsidR="0075360E" w:rsidRDefault="0075360E">
      <w:r>
        <w:separator/>
      </w:r>
    </w:p>
  </w:endnote>
  <w:endnote w:type="continuationSeparator" w:id="0">
    <w:p w14:paraId="4094A952" w14:textId="77777777" w:rsidR="0075360E" w:rsidRDefault="00753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27DD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D39E140" wp14:editId="608355A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D1E7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45CE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39E14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39BD1E7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745CE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979B5D2" wp14:editId="3D40FE1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7D13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618C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9B5D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7D37D13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618CA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15FEF01" wp14:editId="5860B38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DAC7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1148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FEF01"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6ADAC70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611488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1BE1A" w14:textId="77777777" w:rsidR="0075360E" w:rsidRDefault="0075360E">
      <w:r>
        <w:separator/>
      </w:r>
    </w:p>
  </w:footnote>
  <w:footnote w:type="continuationSeparator" w:id="0">
    <w:p w14:paraId="233EEFD5" w14:textId="77777777" w:rsidR="0075360E" w:rsidRDefault="00753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72E9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1DFC88D" wp14:editId="111DB72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D35A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FC88D"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10D35A4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C07CBD3" wp14:editId="12233F2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8D42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2C14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7CBD3"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478D420F"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12C14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04471318">
    <w:abstractNumId w:val="0"/>
  </w:num>
  <w:num w:numId="2" w16cid:durableId="25983517">
    <w:abstractNumId w:val="1"/>
  </w:num>
  <w:num w:numId="3" w16cid:durableId="181884030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MzUwsjA3NTUyMzFX0lEKTi0uzszPAykwqgUAgFy9DSwAAAA="/>
  </w:docVars>
  <w:rsids>
    <w:rsidRoot w:val="00AE3E37"/>
    <w:rsid w:val="000E2911"/>
    <w:rsid w:val="000F221D"/>
    <w:rsid w:val="001263DF"/>
    <w:rsid w:val="0013183D"/>
    <w:rsid w:val="001E763C"/>
    <w:rsid w:val="00271570"/>
    <w:rsid w:val="00286E85"/>
    <w:rsid w:val="00292ED9"/>
    <w:rsid w:val="002D53B4"/>
    <w:rsid w:val="00314AFB"/>
    <w:rsid w:val="003B76D9"/>
    <w:rsid w:val="00404E5B"/>
    <w:rsid w:val="00414F7B"/>
    <w:rsid w:val="004355DC"/>
    <w:rsid w:val="004749B4"/>
    <w:rsid w:val="00494130"/>
    <w:rsid w:val="004F3523"/>
    <w:rsid w:val="00502F92"/>
    <w:rsid w:val="005973B9"/>
    <w:rsid w:val="005B3A56"/>
    <w:rsid w:val="006060CE"/>
    <w:rsid w:val="0063497F"/>
    <w:rsid w:val="00645A8A"/>
    <w:rsid w:val="00706D0B"/>
    <w:rsid w:val="00714FB5"/>
    <w:rsid w:val="0075360E"/>
    <w:rsid w:val="0078738A"/>
    <w:rsid w:val="0079197E"/>
    <w:rsid w:val="00870D98"/>
    <w:rsid w:val="00873DF0"/>
    <w:rsid w:val="008756E6"/>
    <w:rsid w:val="008837EB"/>
    <w:rsid w:val="009B2D44"/>
    <w:rsid w:val="00A07E82"/>
    <w:rsid w:val="00A34DB4"/>
    <w:rsid w:val="00A9710C"/>
    <w:rsid w:val="00AE3E37"/>
    <w:rsid w:val="00B21A57"/>
    <w:rsid w:val="00B2272B"/>
    <w:rsid w:val="00B24A7C"/>
    <w:rsid w:val="00B26F83"/>
    <w:rsid w:val="00B44C89"/>
    <w:rsid w:val="00C32BE8"/>
    <w:rsid w:val="00C33602"/>
    <w:rsid w:val="00CD6F55"/>
    <w:rsid w:val="00D62425"/>
    <w:rsid w:val="00DE3104"/>
    <w:rsid w:val="00E85AE5"/>
    <w:rsid w:val="00F25AE3"/>
    <w:rsid w:val="00F72E88"/>
    <w:rsid w:val="00F72EEA"/>
    <w:rsid w:val="00F8136A"/>
    <w:rsid w:val="00F84CAE"/>
    <w:rsid w:val="00FA50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E2A711"/>
  <w15:docId w15:val="{31AA854F-015B-4B51-B558-24A1A78AA1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A34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hupen27@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494</Words>
  <Characters>2819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Bhupendra Prajapati</cp:lastModifiedBy>
  <cp:revision>7</cp:revision>
  <dcterms:created xsi:type="dcterms:W3CDTF">2022-07-03T17:48:00Z</dcterms:created>
  <dcterms:modified xsi:type="dcterms:W3CDTF">2022-07-03T17:51:00Z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