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FE5A4" w14:textId="6F619AE9" w:rsidR="00E92B07" w:rsidRDefault="00E92B07" w:rsidP="00E92B07">
      <w:pPr>
        <w:pStyle w:val="Titre1"/>
        <w:spacing w:before="170"/>
        <w:ind w:left="0"/>
        <w:rPr>
          <w:rFonts w:ascii="Arial"/>
        </w:rPr>
      </w:pPr>
      <w:r w:rsidRPr="00E92B07">
        <w:rPr>
          <w:color w:val="337AB7"/>
        </w:rPr>
        <w:t>Inkjet printing of silver conductive ink on textiles for wearable electronic applications</w:t>
      </w:r>
    </w:p>
    <w:p w14:paraId="32FD01DA" w14:textId="77777777" w:rsidR="00E92B07" w:rsidRDefault="0078738A" w:rsidP="005973B9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 </w:t>
      </w:r>
      <w:proofErr w:type="spellStart"/>
      <w:r>
        <w:rPr>
          <w:rFonts w:ascii="Arial"/>
        </w:rPr>
        <w:t>AB</w:t>
      </w:r>
      <w:r w:rsidR="00E92B07">
        <w:rPr>
          <w:rFonts w:ascii="Arial"/>
        </w:rPr>
        <w:t>Prof</w:t>
      </w:r>
      <w:proofErr w:type="spellEnd"/>
      <w:r w:rsidR="00E92B07">
        <w:rPr>
          <w:rFonts w:ascii="Arial"/>
        </w:rPr>
        <w:t xml:space="preserve">. Mohamed TAHIRI </w:t>
      </w:r>
      <w:r w:rsidR="00E92B07">
        <w:rPr>
          <w:rFonts w:ascii="Arial"/>
        </w:rPr>
        <w:t>–</w:t>
      </w:r>
      <w:r w:rsidR="00E92B07">
        <w:rPr>
          <w:rFonts w:ascii="Arial"/>
        </w:rPr>
        <w:t xml:space="preserve"> OSEV Laboratory, FSAC-UH2C, Morocco</w:t>
      </w:r>
    </w:p>
    <w:p w14:paraId="51B8F21B" w14:textId="77777777" w:rsidR="00AE3E37" w:rsidRDefault="00AE3E37">
      <w:pPr>
        <w:pStyle w:val="Corpsdetexte"/>
        <w:spacing w:before="3"/>
        <w:rPr>
          <w:rFonts w:ascii="Arial"/>
          <w:sz w:val="21"/>
        </w:rPr>
      </w:pPr>
    </w:p>
    <w:p w14:paraId="3F2CC44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371F8A3" w14:textId="2F3CE7E1"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365C44D4" w14:textId="29DE4271" w:rsidR="00AE3E37" w:rsidRDefault="00E92B07">
      <w:pPr>
        <w:pStyle w:val="Corpsdetexte"/>
        <w:spacing w:before="90" w:line="280" w:lineRule="auto"/>
        <w:ind w:left="100"/>
        <w:jc w:val="both"/>
      </w:pPr>
      <w:r w:rsidRPr="008161B2">
        <w:rPr>
          <w:sz w:val="24"/>
          <w:szCs w:val="24"/>
        </w:rPr>
        <w:t>In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this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study,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silver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nanoparticles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were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synthesized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with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starch-based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reduction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biosystem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at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room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temperature. With this approach, high concentration silver nanoparticles were produced on a large scale with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 low starch/AgNO3 mass ratio, which was very advantageous for the low cost and high conductivity.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Conductive inks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were prepared from the synthesized silver</w:t>
      </w:r>
      <w:r w:rsidRPr="008161B2">
        <w:rPr>
          <w:spacing w:val="55"/>
          <w:sz w:val="24"/>
          <w:szCs w:val="24"/>
        </w:rPr>
        <w:t xml:space="preserve"> </w:t>
      </w:r>
      <w:r w:rsidRPr="008161B2">
        <w:rPr>
          <w:sz w:val="24"/>
          <w:szCs w:val="24"/>
        </w:rPr>
        <w:t>nanoparticles by dispersion of the nanoparticles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in a non-conductive commercial ink. Various patterns have been developed by printing silver nanoparticles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with different percentages from 5% to 25% on a cotton substrate using a syringe. The printed patterns show a</w:t>
      </w:r>
      <w:r w:rsidRPr="008161B2">
        <w:rPr>
          <w:spacing w:val="-52"/>
          <w:sz w:val="24"/>
          <w:szCs w:val="24"/>
        </w:rPr>
        <w:t xml:space="preserve"> </w:t>
      </w:r>
      <w:r w:rsidRPr="008161B2">
        <w:rPr>
          <w:sz w:val="24"/>
          <w:szCs w:val="24"/>
        </w:rPr>
        <w:t>resistivity drop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depending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on the sintering temperature and</w:t>
      </w:r>
      <w:r w:rsidRPr="008161B2">
        <w:rPr>
          <w:spacing w:val="55"/>
          <w:sz w:val="24"/>
          <w:szCs w:val="24"/>
        </w:rPr>
        <w:t xml:space="preserve"> </w:t>
      </w:r>
      <w:r w:rsidRPr="008161B2">
        <w:rPr>
          <w:sz w:val="24"/>
          <w:szCs w:val="24"/>
        </w:rPr>
        <w:t>nanoparticle concentration in the range of 8M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and 8× 10-5 MΩ by heat treatment varying between 60°C and 320°C for 10min.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In addition, a LED test was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successfully performed on the fabrics. These flexible patterns produced by inkjet printing would present a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considerable</w:t>
      </w:r>
      <w:r w:rsidRPr="008161B2">
        <w:rPr>
          <w:spacing w:val="-6"/>
          <w:sz w:val="24"/>
          <w:szCs w:val="24"/>
        </w:rPr>
        <w:t xml:space="preserve"> </w:t>
      </w:r>
      <w:r w:rsidRPr="008161B2">
        <w:rPr>
          <w:sz w:val="24"/>
          <w:szCs w:val="24"/>
        </w:rPr>
        <w:t>success</w:t>
      </w:r>
      <w:r w:rsidRPr="008161B2">
        <w:rPr>
          <w:spacing w:val="3"/>
          <w:sz w:val="24"/>
          <w:szCs w:val="24"/>
        </w:rPr>
        <w:t xml:space="preserve"> </w:t>
      </w:r>
      <w:r w:rsidRPr="008161B2">
        <w:rPr>
          <w:sz w:val="24"/>
          <w:szCs w:val="24"/>
        </w:rPr>
        <w:t>for</w:t>
      </w:r>
      <w:r w:rsidRPr="008161B2">
        <w:rPr>
          <w:spacing w:val="4"/>
          <w:sz w:val="24"/>
          <w:szCs w:val="24"/>
        </w:rPr>
        <w:t xml:space="preserve"> </w:t>
      </w:r>
      <w:r w:rsidRPr="008161B2">
        <w:rPr>
          <w:sz w:val="24"/>
          <w:szCs w:val="24"/>
        </w:rPr>
        <w:t>textile-based</w:t>
      </w:r>
      <w:r w:rsidRPr="008161B2">
        <w:rPr>
          <w:spacing w:val="2"/>
          <w:sz w:val="24"/>
          <w:szCs w:val="24"/>
        </w:rPr>
        <w:t xml:space="preserve"> </w:t>
      </w:r>
      <w:r w:rsidRPr="008161B2">
        <w:rPr>
          <w:sz w:val="24"/>
          <w:szCs w:val="24"/>
        </w:rPr>
        <w:t>electronic devices</w:t>
      </w:r>
      <w:r w:rsidRPr="008161B2">
        <w:rPr>
          <w:spacing w:val="1"/>
          <w:sz w:val="24"/>
          <w:szCs w:val="24"/>
        </w:rPr>
        <w:t xml:space="preserve"> </w:t>
      </w:r>
      <w:r w:rsidRPr="008161B2">
        <w:rPr>
          <w:sz w:val="24"/>
          <w:szCs w:val="24"/>
        </w:rPr>
        <w:t>with</w:t>
      </w:r>
      <w:r w:rsidRPr="008161B2">
        <w:rPr>
          <w:spacing w:val="-3"/>
          <w:sz w:val="24"/>
          <w:szCs w:val="24"/>
        </w:rPr>
        <w:t xml:space="preserve"> </w:t>
      </w:r>
      <w:r w:rsidRPr="008161B2">
        <w:rPr>
          <w:sz w:val="24"/>
          <w:szCs w:val="24"/>
        </w:rPr>
        <w:t>low</w:t>
      </w:r>
      <w:r w:rsidRPr="008161B2">
        <w:rPr>
          <w:spacing w:val="-4"/>
          <w:sz w:val="24"/>
          <w:szCs w:val="24"/>
        </w:rPr>
        <w:t xml:space="preserve"> </w:t>
      </w:r>
      <w:r w:rsidRPr="008161B2">
        <w:rPr>
          <w:sz w:val="24"/>
          <w:szCs w:val="24"/>
        </w:rPr>
        <w:t>cost.</w:t>
      </w:r>
    </w:p>
    <w:p w14:paraId="0CC95B06" w14:textId="4AADEE69" w:rsidR="00AE3E37" w:rsidRDefault="00A9710C" w:rsidP="00E92B07">
      <w:pPr>
        <w:pStyle w:val="Titre3"/>
        <w:spacing w:before="74"/>
      </w:pPr>
      <w:r>
        <w:rPr>
          <w:b w:val="0"/>
        </w:rPr>
        <w:br w:type="column"/>
      </w:r>
    </w:p>
    <w:p w14:paraId="23B5BF23" w14:textId="4E987ADA"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14:paraId="0E725FE9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C3BA631" w14:textId="7BBF6665" w:rsidR="00D8165C" w:rsidRDefault="005973B9" w:rsidP="00D8165C">
      <w:pPr>
        <w:pStyle w:val="EndNoteBibliography"/>
        <w:numPr>
          <w:ilvl w:val="0"/>
          <w:numId w:val="4"/>
        </w:numPr>
        <w:spacing w:after="0"/>
        <w:ind w:hanging="720"/>
        <w:jc w:val="both"/>
        <w:rPr>
          <w:rFonts w:ascii="Times New Roman" w:eastAsia="Times New Roman" w:hAnsi="Times New Roman" w:cs="Times New Roman"/>
          <w:sz w:val="20"/>
        </w:rPr>
      </w:pPr>
      <w:r w:rsidRPr="005973B9">
        <w:rPr>
          <w:sz w:val="18"/>
        </w:rPr>
        <w:t>The neuropathology of alcohol-related braind</w:t>
      </w:r>
      <w:r w:rsidR="00D8165C" w:rsidRPr="00D8165C">
        <w:rPr>
          <w:rFonts w:ascii="Times New Roman" w:hAnsi="Times New Roman" w:cs="Times New Roman"/>
          <w:sz w:val="20"/>
        </w:rPr>
        <w:t xml:space="preserve"> </w:t>
      </w:r>
      <w:r w:rsidR="00D8165C">
        <w:rPr>
          <w:rFonts w:ascii="Times New Roman" w:hAnsi="Times New Roman" w:cs="Times New Roman"/>
          <w:sz w:val="20"/>
        </w:rPr>
        <w:t xml:space="preserve">Gao, M., L. Li, and Y.J.J.o.M.C.C. Song, </w:t>
      </w:r>
      <w:r w:rsidR="00D8165C">
        <w:rPr>
          <w:rFonts w:ascii="Times New Roman" w:hAnsi="Times New Roman" w:cs="Times New Roman"/>
          <w:i/>
          <w:sz w:val="20"/>
        </w:rPr>
        <w:t>Inkjet printing wearable electronic devices.</w:t>
      </w:r>
      <w:r w:rsidR="00D8165C">
        <w:rPr>
          <w:rFonts w:ascii="Times New Roman" w:hAnsi="Times New Roman" w:cs="Times New Roman"/>
          <w:sz w:val="20"/>
        </w:rPr>
        <w:t xml:space="preserve"> 2017. </w:t>
      </w:r>
      <w:r w:rsidR="00D8165C">
        <w:rPr>
          <w:rFonts w:ascii="Times New Roman" w:hAnsi="Times New Roman" w:cs="Times New Roman"/>
          <w:b/>
          <w:sz w:val="20"/>
        </w:rPr>
        <w:t>5</w:t>
      </w:r>
      <w:r w:rsidR="00D8165C">
        <w:rPr>
          <w:rFonts w:ascii="Times New Roman" w:hAnsi="Times New Roman" w:cs="Times New Roman"/>
          <w:sz w:val="20"/>
        </w:rPr>
        <w:t>(12): p. 2971-2993.</w:t>
      </w:r>
    </w:p>
    <w:p w14:paraId="37637527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2.</w:t>
      </w:r>
      <w:r>
        <w:rPr>
          <w:rFonts w:ascii="Times New Roman" w:hAnsi="Times New Roman" w:cs="Times New Roman"/>
          <w:sz w:val="20"/>
        </w:rPr>
        <w:tab/>
        <w:t xml:space="preserve">Khair, N., R. Islam, and H.J.J.o.M.S. Shahariar, </w:t>
      </w:r>
      <w:r>
        <w:rPr>
          <w:rFonts w:ascii="Times New Roman" w:hAnsi="Times New Roman" w:cs="Times New Roman"/>
          <w:i/>
          <w:sz w:val="20"/>
        </w:rPr>
        <w:t>Carbon-based electronic textiles: materials, fabrication processes and applications.</w:t>
      </w:r>
      <w:r>
        <w:rPr>
          <w:rFonts w:ascii="Times New Roman" w:hAnsi="Times New Roman" w:cs="Times New Roman"/>
          <w:sz w:val="20"/>
        </w:rPr>
        <w:t xml:space="preserve"> 2019. </w:t>
      </w:r>
      <w:r>
        <w:rPr>
          <w:rFonts w:ascii="Times New Roman" w:hAnsi="Times New Roman" w:cs="Times New Roman"/>
          <w:b/>
          <w:sz w:val="20"/>
        </w:rPr>
        <w:t>54</w:t>
      </w:r>
      <w:r>
        <w:rPr>
          <w:rFonts w:ascii="Times New Roman" w:hAnsi="Times New Roman" w:cs="Times New Roman"/>
          <w:sz w:val="20"/>
        </w:rPr>
        <w:t>(14): p. 10079-10101.</w:t>
      </w:r>
    </w:p>
    <w:p w14:paraId="7D921A5A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3.</w:t>
      </w:r>
      <w:r>
        <w:rPr>
          <w:rFonts w:ascii="Times New Roman" w:hAnsi="Times New Roman" w:cs="Times New Roman"/>
          <w:sz w:val="20"/>
        </w:rPr>
        <w:tab/>
        <w:t xml:space="preserve">Mattana, G., et al., </w:t>
      </w:r>
      <w:r>
        <w:rPr>
          <w:rFonts w:ascii="Times New Roman" w:hAnsi="Times New Roman" w:cs="Times New Roman"/>
          <w:i/>
          <w:sz w:val="20"/>
        </w:rPr>
        <w:t>Inkjet‐Printing: A New Fabrication Technology for Organic Transistors.</w:t>
      </w:r>
      <w:r>
        <w:rPr>
          <w:rFonts w:ascii="Times New Roman" w:hAnsi="Times New Roman" w:cs="Times New Roman"/>
          <w:sz w:val="20"/>
        </w:rPr>
        <w:t xml:space="preserve"> 2017. </w:t>
      </w:r>
      <w:r>
        <w:rPr>
          <w:rFonts w:ascii="Times New Roman" w:hAnsi="Times New Roman" w:cs="Times New Roman"/>
          <w:b/>
          <w:sz w:val="20"/>
        </w:rPr>
        <w:t>2</w:t>
      </w:r>
      <w:r>
        <w:rPr>
          <w:rFonts w:ascii="Times New Roman" w:hAnsi="Times New Roman" w:cs="Times New Roman"/>
          <w:sz w:val="20"/>
        </w:rPr>
        <w:t>(10): p. 1700063.</w:t>
      </w:r>
    </w:p>
    <w:p w14:paraId="6909EFF2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4.</w:t>
      </w:r>
      <w:r>
        <w:rPr>
          <w:rFonts w:ascii="Times New Roman" w:hAnsi="Times New Roman" w:cs="Times New Roman"/>
          <w:sz w:val="20"/>
        </w:rPr>
        <w:tab/>
        <w:t xml:space="preserve">Tseghai, G.B., et al., </w:t>
      </w:r>
      <w:r>
        <w:rPr>
          <w:rFonts w:ascii="Times New Roman" w:hAnsi="Times New Roman" w:cs="Times New Roman"/>
          <w:i/>
          <w:sz w:val="20"/>
        </w:rPr>
        <w:t>PEDOT: PSS-based conductive textiles and their applications.</w:t>
      </w:r>
      <w:r>
        <w:rPr>
          <w:rFonts w:ascii="Times New Roman" w:hAnsi="Times New Roman" w:cs="Times New Roman"/>
          <w:sz w:val="20"/>
        </w:rPr>
        <w:t xml:space="preserve"> 2020. </w:t>
      </w:r>
      <w:r>
        <w:rPr>
          <w:rFonts w:ascii="Times New Roman" w:hAnsi="Times New Roman" w:cs="Times New Roman"/>
          <w:b/>
          <w:sz w:val="20"/>
        </w:rPr>
        <w:t>20</w:t>
      </w:r>
      <w:r>
        <w:rPr>
          <w:rFonts w:ascii="Times New Roman" w:hAnsi="Times New Roman" w:cs="Times New Roman"/>
          <w:sz w:val="20"/>
        </w:rPr>
        <w:t>(7): p. 1881.</w:t>
      </w:r>
    </w:p>
    <w:p w14:paraId="3D46FD7E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5.</w:t>
      </w:r>
      <w:r>
        <w:rPr>
          <w:rFonts w:ascii="Times New Roman" w:hAnsi="Times New Roman" w:cs="Times New Roman"/>
          <w:sz w:val="20"/>
        </w:rPr>
        <w:tab/>
        <w:t xml:space="preserve">Grancarić, A.M., et al., </w:t>
      </w:r>
      <w:r>
        <w:rPr>
          <w:rFonts w:ascii="Times New Roman" w:hAnsi="Times New Roman" w:cs="Times New Roman"/>
          <w:i/>
          <w:sz w:val="20"/>
        </w:rPr>
        <w:t>Conductive polymers for smart textile applications.</w:t>
      </w:r>
      <w:r>
        <w:rPr>
          <w:rFonts w:ascii="Times New Roman" w:hAnsi="Times New Roman" w:cs="Times New Roman"/>
          <w:sz w:val="20"/>
        </w:rPr>
        <w:t xml:space="preserve"> 2018. </w:t>
      </w:r>
      <w:r>
        <w:rPr>
          <w:rFonts w:ascii="Times New Roman" w:hAnsi="Times New Roman" w:cs="Times New Roman"/>
          <w:b/>
          <w:sz w:val="20"/>
        </w:rPr>
        <w:t>48</w:t>
      </w:r>
      <w:r>
        <w:rPr>
          <w:rFonts w:ascii="Times New Roman" w:hAnsi="Times New Roman" w:cs="Times New Roman"/>
          <w:sz w:val="20"/>
        </w:rPr>
        <w:t>(3): p. 612-642.</w:t>
      </w:r>
    </w:p>
    <w:p w14:paraId="677797CC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6.</w:t>
      </w:r>
      <w:r>
        <w:rPr>
          <w:rFonts w:ascii="Times New Roman" w:hAnsi="Times New Roman" w:cs="Times New Roman"/>
          <w:sz w:val="20"/>
        </w:rPr>
        <w:tab/>
        <w:t xml:space="preserve">Zhu, S., J. Ni, and Y.J.N.R. Li, </w:t>
      </w:r>
      <w:r>
        <w:rPr>
          <w:rFonts w:ascii="Times New Roman" w:hAnsi="Times New Roman" w:cs="Times New Roman"/>
          <w:i/>
          <w:sz w:val="20"/>
        </w:rPr>
        <w:t>Carbon nanotube-based electrodes for flexible supercapacitors.</w:t>
      </w:r>
      <w:r>
        <w:rPr>
          <w:rFonts w:ascii="Times New Roman" w:hAnsi="Times New Roman" w:cs="Times New Roman"/>
          <w:sz w:val="20"/>
        </w:rPr>
        <w:t xml:space="preserve"> 2020. </w:t>
      </w:r>
      <w:r>
        <w:rPr>
          <w:rFonts w:ascii="Times New Roman" w:hAnsi="Times New Roman" w:cs="Times New Roman"/>
          <w:b/>
          <w:sz w:val="20"/>
        </w:rPr>
        <w:t>13</w:t>
      </w:r>
      <w:r>
        <w:rPr>
          <w:rFonts w:ascii="Times New Roman" w:hAnsi="Times New Roman" w:cs="Times New Roman"/>
          <w:sz w:val="20"/>
        </w:rPr>
        <w:t>(7): p. 1825-1841.</w:t>
      </w:r>
    </w:p>
    <w:p w14:paraId="720762D2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7.</w:t>
      </w:r>
      <w:r>
        <w:rPr>
          <w:rFonts w:ascii="Times New Roman" w:hAnsi="Times New Roman" w:cs="Times New Roman"/>
          <w:sz w:val="20"/>
        </w:rPr>
        <w:tab/>
        <w:t xml:space="preserve">Wang, J., et al., </w:t>
      </w:r>
      <w:r>
        <w:rPr>
          <w:rFonts w:ascii="Times New Roman" w:hAnsi="Times New Roman" w:cs="Times New Roman"/>
          <w:i/>
          <w:sz w:val="20"/>
        </w:rPr>
        <w:t>Ink-based 3D printing technologies for graphene-based materials: a review.</w:t>
      </w:r>
      <w:r>
        <w:rPr>
          <w:rFonts w:ascii="Times New Roman" w:hAnsi="Times New Roman" w:cs="Times New Roman"/>
          <w:sz w:val="20"/>
        </w:rPr>
        <w:t xml:space="preserve"> 2019. </w:t>
      </w:r>
      <w:r>
        <w:rPr>
          <w:rFonts w:ascii="Times New Roman" w:hAnsi="Times New Roman" w:cs="Times New Roman"/>
          <w:b/>
          <w:sz w:val="20"/>
        </w:rPr>
        <w:t>2</w:t>
      </w:r>
      <w:r>
        <w:rPr>
          <w:rFonts w:ascii="Times New Roman" w:hAnsi="Times New Roman" w:cs="Times New Roman"/>
          <w:sz w:val="20"/>
        </w:rPr>
        <w:t>(1): p. 1-33.</w:t>
      </w:r>
    </w:p>
    <w:p w14:paraId="2066F9D8" w14:textId="77777777" w:rsidR="00D8165C" w:rsidRDefault="00D8165C" w:rsidP="00D8165C">
      <w:pPr>
        <w:pStyle w:val="EndNoteBibliography"/>
        <w:spacing w:after="0"/>
        <w:ind w:left="720" w:hanging="72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8.</w:t>
      </w:r>
      <w:r>
        <w:rPr>
          <w:rFonts w:ascii="Times New Roman" w:hAnsi="Times New Roman" w:cs="Times New Roman"/>
          <w:sz w:val="20"/>
        </w:rPr>
        <w:tab/>
        <w:t xml:space="preserve">Nayak, L., et al., </w:t>
      </w:r>
      <w:r>
        <w:rPr>
          <w:rFonts w:ascii="Times New Roman" w:hAnsi="Times New Roman" w:cs="Times New Roman"/>
          <w:i/>
          <w:sz w:val="20"/>
        </w:rPr>
        <w:t>A review on inkjet printing of nanoparticle inks for flexible electronics.</w:t>
      </w:r>
      <w:r>
        <w:rPr>
          <w:rFonts w:ascii="Times New Roman" w:hAnsi="Times New Roman" w:cs="Times New Roman"/>
          <w:sz w:val="20"/>
        </w:rPr>
        <w:t xml:space="preserve"> 2019. </w:t>
      </w:r>
      <w:r>
        <w:rPr>
          <w:rFonts w:ascii="Times New Roman" w:hAnsi="Times New Roman" w:cs="Times New Roman"/>
          <w:b/>
          <w:sz w:val="20"/>
        </w:rPr>
        <w:t>7</w:t>
      </w:r>
      <w:r>
        <w:rPr>
          <w:rFonts w:ascii="Times New Roman" w:hAnsi="Times New Roman" w:cs="Times New Roman"/>
          <w:sz w:val="20"/>
        </w:rPr>
        <w:t>(29): p. 8771-8795.</w:t>
      </w:r>
    </w:p>
    <w:p w14:paraId="130A5718" w14:textId="298B8825" w:rsidR="00AE3E37" w:rsidRDefault="008756E6" w:rsidP="00D8165C">
      <w:pPr>
        <w:tabs>
          <w:tab w:val="left" w:pos="384"/>
        </w:tabs>
        <w:spacing w:before="103" w:line="216" w:lineRule="exact"/>
        <w:ind w:right="138"/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t xml:space="preserve">   </w:t>
      </w:r>
    </w:p>
    <w:p w14:paraId="0EBBF7AF" w14:textId="77777777" w:rsidR="00AE3E37" w:rsidRPr="00D62425" w:rsidRDefault="00D62425">
      <w:pPr>
        <w:pStyle w:val="Corpsdetexte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5C199E62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AB6005B" wp14:editId="633889D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06C7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5DDDFD13" w14:textId="12A73826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8165C" w:rsidRPr="00BE0405">
        <w:rPr>
          <w:noProof/>
        </w:rPr>
        <w:drawing>
          <wp:inline distT="0" distB="0" distL="0" distR="0" wp14:anchorId="60026446" wp14:editId="7E0FA957">
            <wp:extent cx="611136" cy="64770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60" cy="649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751D0EC7" w14:textId="77777777" w:rsidR="00D8165C" w:rsidRPr="00F33DCA" w:rsidRDefault="00D8165C" w:rsidP="00D8165C">
      <w:pPr>
        <w:pStyle w:val="Titre"/>
        <w:spacing w:line="276" w:lineRule="auto"/>
        <w:jc w:val="both"/>
        <w:rPr>
          <w:rFonts w:ascii="Calibri" w:hAnsi="Calibri"/>
          <w:b w:val="0"/>
          <w:sz w:val="20"/>
          <w:szCs w:val="20"/>
          <w:u w:val="none"/>
          <w:lang w:val="en-US"/>
        </w:rPr>
      </w:pP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Dr. Mohamed TAHIRI is currently a full professor of </w:t>
      </w:r>
      <w:r w:rsidRPr="00F33DCA">
        <w:rPr>
          <w:rFonts w:ascii="Calibri" w:hAnsi="Calibri"/>
          <w:bCs/>
          <w:sz w:val="20"/>
          <w:szCs w:val="20"/>
          <w:u w:val="none"/>
          <w:lang w:val="en-US"/>
        </w:rPr>
        <w:t>Chemistry, water, Bio-energy and environment engineering, Chemical Risks, Climate changes and Air Pollution,</w:t>
      </w: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 </w:t>
      </w:r>
      <w:r w:rsidRPr="00F33DCA">
        <w:rPr>
          <w:rFonts w:ascii="Calibri" w:hAnsi="Calibri"/>
          <w:bCs/>
          <w:sz w:val="20"/>
          <w:szCs w:val="20"/>
          <w:u w:val="none"/>
          <w:lang w:val="en-US"/>
        </w:rPr>
        <w:t>Environment account, Jewelry and surface treatments</w:t>
      </w: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>, at Ain Chock’s Sciences Faculty of Hassan II University of Casablanca (1987-now)</w:t>
      </w:r>
    </w:p>
    <w:p w14:paraId="2B14C383" w14:textId="16AD6F23" w:rsidR="00D8165C" w:rsidRPr="00F33DCA" w:rsidRDefault="00D8165C" w:rsidP="00D8165C">
      <w:pPr>
        <w:pStyle w:val="Titre"/>
        <w:spacing w:line="276" w:lineRule="auto"/>
        <w:jc w:val="both"/>
        <w:rPr>
          <w:rFonts w:ascii="Calibri" w:hAnsi="Calibri"/>
          <w:b w:val="0"/>
          <w:sz w:val="20"/>
          <w:szCs w:val="20"/>
          <w:u w:val="none"/>
          <w:lang w:val="en-US"/>
        </w:rPr>
      </w:pP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Since January 2010, he’s </w:t>
      </w:r>
      <w:r w:rsidRPr="00F33DCA">
        <w:rPr>
          <w:rFonts w:ascii="Calibri" w:hAnsi="Calibri"/>
          <w:bCs/>
          <w:sz w:val="20"/>
          <w:szCs w:val="20"/>
          <w:u w:val="none"/>
          <w:lang w:val="en-US"/>
        </w:rPr>
        <w:t>Chair holder of UNCHAIN-UH2C</w:t>
      </w: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 (University Chair on Innovation). As part of his TEMPUS-supported role, Mohamed TAHIRI has received extensive training in Europe on Innovation, technology Transfer, Intellectual Property Rights and innovation Management. </w:t>
      </w:r>
      <w:r>
        <w:rPr>
          <w:rFonts w:ascii="Calibri" w:hAnsi="Calibri"/>
          <w:b w:val="0"/>
          <w:sz w:val="20"/>
          <w:szCs w:val="20"/>
          <w:u w:val="none"/>
          <w:lang w:val="en-US"/>
        </w:rPr>
        <w:t xml:space="preserve"> </w:t>
      </w: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He holds in his faculty a </w:t>
      </w:r>
      <w:r w:rsidRPr="00F33DCA">
        <w:rPr>
          <w:rFonts w:ascii="Calibri" w:hAnsi="Calibri"/>
          <w:sz w:val="20"/>
          <w:szCs w:val="20"/>
          <w:u w:val="none"/>
          <w:lang w:val="en-US"/>
        </w:rPr>
        <w:t>Bachelor on sanitation management in urban and rural areas</w:t>
      </w: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>.</w:t>
      </w:r>
    </w:p>
    <w:p w14:paraId="569D2FF6" w14:textId="77777777" w:rsidR="00D8165C" w:rsidRPr="00F33DCA" w:rsidRDefault="00D8165C" w:rsidP="00D8165C">
      <w:pPr>
        <w:pStyle w:val="Titre"/>
        <w:spacing w:line="276" w:lineRule="auto"/>
        <w:jc w:val="both"/>
        <w:rPr>
          <w:rFonts w:ascii="Calibri" w:hAnsi="Calibri"/>
          <w:b w:val="0"/>
          <w:sz w:val="20"/>
          <w:szCs w:val="20"/>
          <w:u w:val="none"/>
          <w:lang w:val="en-US"/>
        </w:rPr>
      </w:pPr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Since 2017, he’s Manager of </w:t>
      </w:r>
      <w:proofErr w:type="spellStart"/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>Yabda</w:t>
      </w:r>
      <w:proofErr w:type="spellEnd"/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 Erasmus + project cofounded by EU (</w:t>
      </w:r>
      <w:hyperlink r:id="rId10" w:history="1">
        <w:r w:rsidRPr="00F33DCA">
          <w:rPr>
            <w:rStyle w:val="Lienhypertexte"/>
            <w:rFonts w:ascii="Calibri" w:hAnsi="Calibri"/>
            <w:b w:val="0"/>
            <w:sz w:val="20"/>
            <w:szCs w:val="20"/>
            <w:lang w:val="en-US"/>
          </w:rPr>
          <w:t>www.yabda-project.eu</w:t>
        </w:r>
      </w:hyperlink>
      <w:r w:rsidRPr="00F33DCA">
        <w:rPr>
          <w:rFonts w:ascii="Calibri" w:hAnsi="Calibri"/>
          <w:b w:val="0"/>
          <w:sz w:val="20"/>
          <w:szCs w:val="20"/>
          <w:u w:val="none"/>
          <w:lang w:val="en-US"/>
        </w:rPr>
        <w:t xml:space="preserve">) </w:t>
      </w:r>
    </w:p>
    <w:p w14:paraId="233A41B3" w14:textId="58502442" w:rsidR="00AE3E37" w:rsidRPr="00D8165C" w:rsidRDefault="00A9710C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proofErr w:type="gramStart"/>
      <w:r w:rsidRPr="00D8165C">
        <w:rPr>
          <w:rFonts w:ascii="Arial"/>
          <w:sz w:val="14"/>
          <w:lang w:val="fr-FR"/>
        </w:rPr>
        <w:t>Email:</w:t>
      </w:r>
      <w:proofErr w:type="gramEnd"/>
      <w:r w:rsidRPr="00D8165C">
        <w:rPr>
          <w:rFonts w:ascii="Arial"/>
          <w:sz w:val="14"/>
          <w:lang w:val="fr-FR"/>
        </w:rPr>
        <w:t xml:space="preserve"> </w:t>
      </w:r>
      <w:hyperlink r:id="rId11" w:history="1">
        <w:r w:rsidR="00D8165C" w:rsidRPr="00D8165C">
          <w:rPr>
            <w:rStyle w:val="Lienhypertexte"/>
            <w:lang w:val="fr-FR"/>
          </w:rPr>
          <w:t>mohtahiri@yahoo.fr</w:t>
        </w:r>
      </w:hyperlink>
      <w:r w:rsidR="00D8165C" w:rsidRPr="00D8165C">
        <w:rPr>
          <w:lang w:val="fr-FR"/>
        </w:rPr>
        <w:t xml:space="preserve"> </w:t>
      </w:r>
    </w:p>
    <w:p w14:paraId="0CF735B7" w14:textId="77777777" w:rsidR="00AE3E37" w:rsidRPr="00D8165C" w:rsidRDefault="00292ED9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BFF8F2B" wp14:editId="76245B4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F3489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02D45E1D" w14:textId="77777777" w:rsidR="00AE3E37" w:rsidRPr="00D8165C" w:rsidRDefault="00AE3E37">
      <w:pPr>
        <w:pStyle w:val="Corpsdetexte"/>
        <w:rPr>
          <w:rFonts w:ascii="Arial"/>
          <w:sz w:val="20"/>
          <w:lang w:val="fr-FR"/>
        </w:rPr>
      </w:pPr>
    </w:p>
    <w:p w14:paraId="282B2D98" w14:textId="77777777" w:rsidR="00AE3E37" w:rsidRPr="00D8165C" w:rsidRDefault="00AE3E37">
      <w:pPr>
        <w:pStyle w:val="Corpsdetexte"/>
        <w:rPr>
          <w:rFonts w:ascii="Arial"/>
          <w:sz w:val="20"/>
          <w:lang w:val="fr-FR"/>
        </w:rPr>
      </w:pPr>
    </w:p>
    <w:p w14:paraId="1B80D666" w14:textId="77777777" w:rsidR="00AE3E37" w:rsidRPr="00D8165C" w:rsidRDefault="00AE3E37">
      <w:pPr>
        <w:pStyle w:val="Corpsdetexte"/>
        <w:spacing w:before="7"/>
        <w:rPr>
          <w:rFonts w:ascii="Arial"/>
          <w:sz w:val="29"/>
          <w:lang w:val="fr-FR"/>
        </w:rPr>
      </w:pPr>
    </w:p>
    <w:p w14:paraId="38ADB7AF" w14:textId="77777777" w:rsidR="00AE3E37" w:rsidRPr="00D8165C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D8165C">
        <w:rPr>
          <w:rFonts w:ascii="Minion Pro"/>
          <w:b/>
          <w:sz w:val="20"/>
          <w:lang w:val="fr-FR"/>
        </w:rPr>
        <w:t>Notes/</w:t>
      </w:r>
      <w:proofErr w:type="spellStart"/>
      <w:proofErr w:type="gramStart"/>
      <w:r w:rsidRPr="00D8165C">
        <w:rPr>
          <w:rFonts w:ascii="Minion Pro"/>
          <w:b/>
          <w:sz w:val="20"/>
          <w:lang w:val="fr-FR"/>
        </w:rPr>
        <w:t>Comments</w:t>
      </w:r>
      <w:proofErr w:type="spellEnd"/>
      <w:r w:rsidRPr="00D8165C">
        <w:rPr>
          <w:rFonts w:ascii="Minion Pro"/>
          <w:b/>
          <w:sz w:val="20"/>
          <w:lang w:val="fr-FR"/>
        </w:rPr>
        <w:t>:</w:t>
      </w:r>
      <w:proofErr w:type="gramEnd"/>
    </w:p>
    <w:p w14:paraId="7B6C89FD" w14:textId="77777777" w:rsidR="00AE3E37" w:rsidRPr="00D8165C" w:rsidRDefault="00AE3E37">
      <w:pPr>
        <w:rPr>
          <w:rFonts w:ascii="Minion Pro"/>
          <w:sz w:val="24"/>
          <w:lang w:val="fr-FR"/>
        </w:rPr>
        <w:sectPr w:rsidR="00AE3E37" w:rsidRPr="00D8165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0DF6B1D0" w14:textId="77777777" w:rsidR="00AE3E37" w:rsidRPr="00D8165C" w:rsidRDefault="00AE3E37">
      <w:pPr>
        <w:pStyle w:val="Corpsdetexte"/>
        <w:spacing w:before="3"/>
        <w:rPr>
          <w:rFonts w:ascii="Minion Pro"/>
          <w:sz w:val="26"/>
          <w:lang w:val="fr-FR"/>
        </w:rPr>
      </w:pPr>
    </w:p>
    <w:sectPr w:rsidR="00AE3E37" w:rsidRPr="00D8165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AC5C2" w14:textId="77777777" w:rsidR="00505AC9" w:rsidRDefault="00505AC9">
      <w:r>
        <w:separator/>
      </w:r>
    </w:p>
  </w:endnote>
  <w:endnote w:type="continuationSeparator" w:id="0">
    <w:p w14:paraId="43FD0917" w14:textId="77777777" w:rsidR="00505AC9" w:rsidRDefault="00505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8FA49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2505832" wp14:editId="1F545A7F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B82A99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57471E2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0583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7FB82A99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57471E2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22075EF" wp14:editId="325903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4426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F8392E0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2075EF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4454426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F8392E0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BE27003" wp14:editId="58EFE52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96312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BFA9E95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E27003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7F196312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BFA9E95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82EBB" w14:textId="77777777" w:rsidR="00505AC9" w:rsidRDefault="00505AC9">
      <w:r>
        <w:separator/>
      </w:r>
    </w:p>
  </w:footnote>
  <w:footnote w:type="continuationSeparator" w:id="0">
    <w:p w14:paraId="0CEDE927" w14:textId="77777777" w:rsidR="00505AC9" w:rsidRDefault="00505A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D8324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1AE09B59" wp14:editId="35B467C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37D122" w14:textId="77777777" w:rsidR="00AE3E37" w:rsidRPr="00E92B07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E92B0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r w:rsidR="00505AC9">
                            <w:fldChar w:fldCharType="begin"/>
                          </w:r>
                          <w:r w:rsidR="00505AC9" w:rsidRPr="00E92B07">
                            <w:rPr>
                              <w:lang w:val="fr-FR"/>
                            </w:rPr>
                            <w:instrText xml:space="preserve"> HYPERLINK "http://dx.doi.org/10.4172/2167-0846.C1.006" \h </w:instrText>
                          </w:r>
                          <w:r w:rsidR="00505AC9">
                            <w:fldChar w:fldCharType="separate"/>
                          </w:r>
                          <w:r w:rsidRPr="00E92B0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505AC9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09B5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637D122" w14:textId="77777777" w:rsidR="00AE3E37" w:rsidRPr="00E92B07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E92B0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r w:rsidR="00505AC9">
                      <w:fldChar w:fldCharType="begin"/>
                    </w:r>
                    <w:r w:rsidR="00505AC9" w:rsidRPr="00E92B07">
                      <w:rPr>
                        <w:lang w:val="fr-FR"/>
                      </w:rPr>
                      <w:instrText xml:space="preserve"> HYPERLINK "http://dx.doi.org/10.4172/2167-0846.C1.006" \h </w:instrText>
                    </w:r>
                    <w:r w:rsidR="00505AC9">
                      <w:fldChar w:fldCharType="separate"/>
                    </w:r>
                    <w:r w:rsidRPr="00E92B0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http://dx.doi.org/10.4172/2167-0846.C1.006</w:t>
                    </w:r>
                    <w:r w:rsidR="00505AC9">
                      <w:rPr>
                        <w:rFonts w:ascii="Arial"/>
                        <w:color w:val="FFFFFF" w:themeColor="background1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4FEB501" wp14:editId="1A72D48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21CBF9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7A9ADF0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4FEB501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1B21CBF9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7A9ADF0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7D405AC"/>
    <w:multiLevelType w:val="hybridMultilevel"/>
    <w:tmpl w:val="76D2C86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1E763C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05AC9"/>
    <w:rsid w:val="005973B9"/>
    <w:rsid w:val="005B3A56"/>
    <w:rsid w:val="006060CE"/>
    <w:rsid w:val="0063497F"/>
    <w:rsid w:val="0078738A"/>
    <w:rsid w:val="00873DF0"/>
    <w:rsid w:val="008756E6"/>
    <w:rsid w:val="009B2D44"/>
    <w:rsid w:val="00A07E82"/>
    <w:rsid w:val="00A9710C"/>
    <w:rsid w:val="00AE3E37"/>
    <w:rsid w:val="00B21A57"/>
    <w:rsid w:val="00C33602"/>
    <w:rsid w:val="00CD6F55"/>
    <w:rsid w:val="00D62425"/>
    <w:rsid w:val="00D8165C"/>
    <w:rsid w:val="00DE3104"/>
    <w:rsid w:val="00E92B07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F9B50"/>
  <w15:docId w15:val="{FFB66B87-71AC-48FC-B280-B990CAABE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EndNoteBibliographyCar">
    <w:name w:val="EndNote Bibliography Car"/>
    <w:link w:val="EndNoteBibliography"/>
    <w:locked/>
    <w:rsid w:val="00D8165C"/>
    <w:rPr>
      <w:rFonts w:ascii="Calibri Light" w:hAnsi="Calibri Light" w:cs="Calibri Light"/>
      <w:noProof/>
      <w:sz w:val="32"/>
      <w:lang w:eastAsia="ar-SA"/>
    </w:rPr>
  </w:style>
  <w:style w:type="paragraph" w:customStyle="1" w:styleId="EndNoteBibliography">
    <w:name w:val="EndNote Bibliography"/>
    <w:basedOn w:val="Normal"/>
    <w:link w:val="EndNoteBibliographyCar"/>
    <w:rsid w:val="00D8165C"/>
    <w:pPr>
      <w:widowControl/>
      <w:spacing w:before="12" w:after="6"/>
    </w:pPr>
    <w:rPr>
      <w:rFonts w:ascii="Calibri Light" w:eastAsiaTheme="minorHAnsi" w:hAnsi="Calibri Light" w:cs="Calibri Light"/>
      <w:noProof/>
      <w:sz w:val="32"/>
      <w:lang w:eastAsia="ar-SA"/>
    </w:rPr>
  </w:style>
  <w:style w:type="character" w:styleId="Mentionnonrsolue">
    <w:name w:val="Unresolved Mention"/>
    <w:basedOn w:val="Policepardfaut"/>
    <w:uiPriority w:val="99"/>
    <w:semiHidden/>
    <w:unhideWhenUsed/>
    <w:rsid w:val="00D8165C"/>
    <w:rPr>
      <w:color w:val="605E5C"/>
      <w:shd w:val="clear" w:color="auto" w:fill="E1DFDD"/>
    </w:rPr>
  </w:style>
  <w:style w:type="paragraph" w:styleId="Titre">
    <w:name w:val="Title"/>
    <w:basedOn w:val="Normal"/>
    <w:link w:val="TitreCar"/>
    <w:qFormat/>
    <w:rsid w:val="00D8165C"/>
    <w:pPr>
      <w:widowControl/>
      <w:jc w:val="center"/>
    </w:pPr>
    <w:rPr>
      <w:rFonts w:ascii="Bookman Old Style" w:eastAsia="Times New Roman" w:hAnsi="Bookman Old Style" w:cs="Times New Roman"/>
      <w:b/>
      <w:i/>
      <w:iCs/>
      <w:sz w:val="48"/>
      <w:szCs w:val="24"/>
      <w:u w:val="single"/>
      <w:lang w:val="en-GB" w:eastAsia="fr-FR"/>
    </w:rPr>
  </w:style>
  <w:style w:type="character" w:customStyle="1" w:styleId="TitreCar">
    <w:name w:val="Titre Car"/>
    <w:basedOn w:val="Policepardfaut"/>
    <w:link w:val="Titre"/>
    <w:rsid w:val="00D8165C"/>
    <w:rPr>
      <w:rFonts w:ascii="Bookman Old Style" w:eastAsia="Times New Roman" w:hAnsi="Bookman Old Style" w:cs="Times New Roman"/>
      <w:b/>
      <w:i/>
      <w:iCs/>
      <w:sz w:val="48"/>
      <w:szCs w:val="24"/>
      <w:u w:val="single"/>
      <w:lang w:val="en-GB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htahiri@yahoo.f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yabda-project.eu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493</Words>
  <Characters>2714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2021-12-12T09:59:00Z</dcterms:created>
  <dcterms:modified xsi:type="dcterms:W3CDTF">2021-12-12T09:59:00Z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