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02F2A" w:rsidRPr="00D02F2A" w:rsidRDefault="00D02F2A" w:rsidP="00494130">
      <w:pPr>
        <w:pStyle w:val="Heading1"/>
        <w:spacing w:before="170"/>
        <w:ind w:left="0"/>
        <w:rPr>
          <w:color w:val="337AB7"/>
        </w:rPr>
      </w:pPr>
      <w:bookmarkStart w:id="0" w:name="_Hlk134529000"/>
      <w:bookmarkEnd w:id="0"/>
      <w:r>
        <w:rPr>
          <w:color w:val="337AB7"/>
        </w:rPr>
        <w:t>Cardiac magnetic res</w:t>
      </w:r>
      <w:r w:rsidR="00A9710C">
        <w:rPr>
          <w:color w:val="337AB7"/>
        </w:rPr>
        <w:t>o</w:t>
      </w:r>
      <w:r>
        <w:rPr>
          <w:color w:val="337AB7"/>
        </w:rPr>
        <w:t>nance imaging before and after therapeutic interventions for systemic sclerosis-associated myocarditis.</w:t>
      </w:r>
    </w:p>
    <w:p w:rsidR="00D02F2A" w:rsidRDefault="00D02F2A" w:rsidP="00D02F2A">
      <w:pPr>
        <w:pStyle w:val="BodyText"/>
        <w:rPr>
          <w:rFonts w:ascii="Arial"/>
        </w:rPr>
      </w:pPr>
    </w:p>
    <w:p w:rsidR="00D02F2A" w:rsidRPr="00D02F2A" w:rsidRDefault="00D02F2A" w:rsidP="00D02F2A">
      <w:pPr>
        <w:pStyle w:val="BodyText"/>
        <w:rPr>
          <w:rFonts w:ascii="Arial"/>
          <w:sz w:val="16"/>
          <w:szCs w:val="16"/>
        </w:rPr>
      </w:pPr>
      <w:r w:rsidRPr="00D02F2A">
        <w:rPr>
          <w:rFonts w:ascii="Arial"/>
          <w:sz w:val="16"/>
          <w:szCs w:val="16"/>
        </w:rPr>
        <w:t>Stylianos Panopoulos</w:t>
      </w:r>
      <w:r w:rsidRPr="00D02F2A">
        <w:rPr>
          <w:rFonts w:ascii="Arial" w:hAnsi="Arial"/>
          <w:sz w:val="16"/>
          <w:szCs w:val="16"/>
          <w:vertAlign w:val="superscript"/>
        </w:rPr>
        <w:t>1</w:t>
      </w:r>
      <w:r w:rsidRPr="00D02F2A">
        <w:rPr>
          <w:rFonts w:ascii="Arial"/>
          <w:sz w:val="16"/>
          <w:szCs w:val="16"/>
        </w:rPr>
        <w:t>, Sophie Mavrogeni</w:t>
      </w:r>
      <w:r w:rsidRPr="00D02F2A">
        <w:rPr>
          <w:rFonts w:ascii="Arial" w:hAnsi="Arial"/>
          <w:sz w:val="16"/>
          <w:szCs w:val="16"/>
          <w:vertAlign w:val="superscript"/>
        </w:rPr>
        <w:t>2</w:t>
      </w:r>
      <w:r w:rsidRPr="00D02F2A">
        <w:rPr>
          <w:rFonts w:ascii="Arial"/>
          <w:sz w:val="16"/>
          <w:szCs w:val="16"/>
        </w:rPr>
        <w:t>, Charalambos Vlachopoulos</w:t>
      </w:r>
      <w:r w:rsidRPr="00D02F2A">
        <w:rPr>
          <w:rFonts w:ascii="Arial" w:hAnsi="Arial"/>
          <w:sz w:val="16"/>
          <w:szCs w:val="16"/>
          <w:vertAlign w:val="superscript"/>
        </w:rPr>
        <w:t>3</w:t>
      </w:r>
      <w:r w:rsidRPr="00D02F2A">
        <w:rPr>
          <w:rFonts w:ascii="Arial"/>
          <w:sz w:val="16"/>
          <w:szCs w:val="16"/>
        </w:rPr>
        <w:t>, Petros P. Sfikakis</w:t>
      </w:r>
      <w:r w:rsidRPr="00D02F2A">
        <w:rPr>
          <w:rFonts w:ascii="Arial" w:hAnsi="Arial"/>
          <w:sz w:val="16"/>
          <w:szCs w:val="16"/>
          <w:vertAlign w:val="superscript"/>
        </w:rPr>
        <w:t>1</w:t>
      </w:r>
    </w:p>
    <w:p w:rsidR="00D02F2A" w:rsidRPr="00D02F2A" w:rsidRDefault="00D02F2A" w:rsidP="00D02F2A">
      <w:pPr>
        <w:pStyle w:val="BodyText"/>
        <w:rPr>
          <w:rFonts w:ascii="Arial"/>
          <w:sz w:val="16"/>
          <w:szCs w:val="16"/>
        </w:rPr>
      </w:pPr>
    </w:p>
    <w:p w:rsidR="00AE3E37" w:rsidRPr="00D02F2A" w:rsidRDefault="00D02F2A" w:rsidP="00D02F2A">
      <w:pPr>
        <w:pStyle w:val="BodyText"/>
        <w:jc w:val="both"/>
        <w:rPr>
          <w:rFonts w:ascii="Arial"/>
          <w:sz w:val="16"/>
          <w:szCs w:val="16"/>
        </w:rPr>
      </w:pPr>
      <w:r w:rsidRPr="00D02F2A">
        <w:rPr>
          <w:rFonts w:ascii="Arial" w:hAnsi="Arial"/>
          <w:sz w:val="16"/>
          <w:szCs w:val="16"/>
          <w:vertAlign w:val="superscript"/>
        </w:rPr>
        <w:t>1</w:t>
      </w:r>
      <w:r w:rsidRPr="00D02F2A">
        <w:rPr>
          <w:rFonts w:ascii="Arial"/>
          <w:sz w:val="16"/>
          <w:szCs w:val="16"/>
        </w:rPr>
        <w:t xml:space="preserve">First Department of Propaedeutic and Internal Medicine and Joint Academic Rheumatology Program, National and Kapodistrian University of Athens, Medical School, Athens, Greece, </w:t>
      </w:r>
      <w:r w:rsidRPr="00D02F2A">
        <w:rPr>
          <w:rFonts w:ascii="Arial" w:hAnsi="Arial"/>
          <w:sz w:val="16"/>
          <w:szCs w:val="16"/>
          <w:vertAlign w:val="superscript"/>
        </w:rPr>
        <w:t>2</w:t>
      </w:r>
      <w:r w:rsidRPr="00D02F2A">
        <w:rPr>
          <w:rFonts w:ascii="Arial"/>
          <w:sz w:val="16"/>
          <w:szCs w:val="16"/>
        </w:rPr>
        <w:t xml:space="preserve">Department of Cardiology, Onassis Cardiac Surgery Center, Athens, Greece, </w:t>
      </w:r>
      <w:r w:rsidRPr="00D02F2A">
        <w:rPr>
          <w:rFonts w:ascii="Arial" w:hAnsi="Arial"/>
          <w:sz w:val="16"/>
          <w:szCs w:val="16"/>
          <w:vertAlign w:val="superscript"/>
        </w:rPr>
        <w:t>3</w:t>
      </w:r>
      <w:r w:rsidRPr="00D02F2A">
        <w:rPr>
          <w:rFonts w:ascii="Arial"/>
          <w:sz w:val="16"/>
          <w:szCs w:val="16"/>
        </w:rPr>
        <w:t>First Cardiology Department, Hippokration General Hospital, National and Kapodistrian University of Athens, Medical School, Athens, Greece.</w:t>
      </w:r>
    </w:p>
    <w:p w:rsidR="00AE3E37" w:rsidRDefault="00AE3E37" w:rsidP="00D02F2A">
      <w:pPr>
        <w:pStyle w:val="BodyText"/>
        <w:spacing w:before="3"/>
        <w:jc w:val="both"/>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w:t>
      </w:r>
    </w:p>
    <w:p w:rsidR="00AE3E37" w:rsidRPr="00D02F2A" w:rsidRDefault="00D02F2A" w:rsidP="00E86141">
      <w:pPr>
        <w:pStyle w:val="Heading3"/>
        <w:spacing w:before="74"/>
        <w:jc w:val="both"/>
        <w:rPr>
          <w:rFonts w:ascii="Tw Cen MT" w:eastAsia="Tw Cen MT" w:hAnsi="Tw Cen MT" w:cs="Tw Cen MT"/>
          <w:b w:val="0"/>
          <w:bCs w:val="0"/>
          <w:sz w:val="18"/>
          <w:szCs w:val="18"/>
        </w:rPr>
      </w:pPr>
      <w:r w:rsidRPr="00D02F2A">
        <w:rPr>
          <w:rFonts w:ascii="Tw Cen MT" w:eastAsia="Tw Cen MT" w:hAnsi="Tw Cen MT" w:cs="Tw Cen MT"/>
          <w:b w:val="0"/>
          <w:bCs w:val="0"/>
          <w:sz w:val="18"/>
          <w:szCs w:val="18"/>
        </w:rPr>
        <w:t>Statement of the problem</w:t>
      </w:r>
      <w:r>
        <w:rPr>
          <w:rFonts w:ascii="Tw Cen MT" w:eastAsia="Tw Cen MT" w:hAnsi="Tw Cen MT" w:cs="Tw Cen MT"/>
          <w:b w:val="0"/>
          <w:bCs w:val="0"/>
          <w:sz w:val="18"/>
          <w:szCs w:val="18"/>
        </w:rPr>
        <w:t>.</w:t>
      </w:r>
      <w:r w:rsidR="009527AD">
        <w:rPr>
          <w:rFonts w:ascii="Tw Cen MT" w:eastAsia="Tw Cen MT" w:hAnsi="Tw Cen MT" w:cs="Tw Cen MT"/>
          <w:b w:val="0"/>
          <w:bCs w:val="0"/>
          <w:sz w:val="18"/>
          <w:szCs w:val="18"/>
        </w:rPr>
        <w:t xml:space="preserve"> </w:t>
      </w:r>
      <w:r w:rsidRPr="00D02F2A">
        <w:rPr>
          <w:rFonts w:ascii="Tw Cen MT" w:eastAsia="Tw Cen MT" w:hAnsi="Tw Cen MT" w:cs="Tw Cen MT"/>
          <w:b w:val="0"/>
          <w:bCs w:val="0"/>
          <w:sz w:val="18"/>
          <w:szCs w:val="18"/>
        </w:rPr>
        <w:t>Primary heart involvement in Systemic sclerosis (SSc), including myocarditis or conduction system disorders, has an estimated prevalence between 7 and 50% and is reported to be the second most frequent SSc-related mortality cause. Early detection and prompt management of cardiac involvement in SSc are of paramount importance. Cardiac Magnetic Resonance (CMR) is increasingly used to evaluate SSc-associated cardiac complications. The purpose of this study is to assess changes, including inflammatory and/or fibrotic myocardial lesions detected by CMR, following therapeutic interventions for SSc-associated symptomatic myocarditis.</w:t>
      </w:r>
      <w:r>
        <w:rPr>
          <w:rFonts w:ascii="Tw Cen MT" w:eastAsia="Tw Cen MT" w:hAnsi="Tw Cen MT" w:cs="Tw Cen MT"/>
          <w:b w:val="0"/>
          <w:bCs w:val="0"/>
          <w:sz w:val="18"/>
          <w:szCs w:val="18"/>
        </w:rPr>
        <w:t xml:space="preserve"> </w:t>
      </w:r>
      <w:r w:rsidRPr="00D02F2A">
        <w:rPr>
          <w:rFonts w:ascii="Tw Cen MT" w:eastAsia="Tw Cen MT" w:hAnsi="Tw Cen MT" w:cs="Tw Cen MT"/>
          <w:b w:val="0"/>
          <w:bCs w:val="0"/>
          <w:sz w:val="18"/>
          <w:szCs w:val="18"/>
        </w:rPr>
        <w:t>Methodology and theoretical orientation</w:t>
      </w:r>
      <w:r>
        <w:rPr>
          <w:rFonts w:ascii="Tw Cen MT" w:eastAsia="Tw Cen MT" w:hAnsi="Tw Cen MT" w:cs="Tw Cen MT"/>
          <w:b w:val="0"/>
          <w:bCs w:val="0"/>
          <w:sz w:val="18"/>
          <w:szCs w:val="18"/>
        </w:rPr>
        <w:t xml:space="preserve">. </w:t>
      </w:r>
      <w:r w:rsidRPr="00D02F2A">
        <w:rPr>
          <w:rFonts w:ascii="Tw Cen MT" w:eastAsia="Tw Cen MT" w:hAnsi="Tw Cen MT" w:cs="Tw Cen MT"/>
          <w:b w:val="0"/>
          <w:bCs w:val="0"/>
          <w:sz w:val="18"/>
          <w:szCs w:val="18"/>
        </w:rPr>
        <w:t>In this retrospective study, myocarditis was diagnosed by CMR (2018 revised Lake Louise criteria) in 18 patients (14 diffuse/4 limited SSc, 16/18 women, aged 56±11 years, disease duration 8±11 years, 17/18 with lung involvement) with cardiac symptoms and abnormal echocardiography (4/18) and/or 24-hour Holter monitoring (12/14). CMR was repeated after 8±3 months following administration of cyclophosphamide (n=11, combined with corticosteroids in 3 and rituximab in 1), mycophenolate (n=1), tocilizumab (n=1), methotrexate/corticosteroids (n=2), corticosteroids (n=1) or autologous stem cell transplantation (n=2).</w:t>
      </w:r>
      <w:r w:rsidR="009527AD">
        <w:rPr>
          <w:rFonts w:ascii="Tw Cen MT" w:eastAsia="Tw Cen MT" w:hAnsi="Tw Cen MT" w:cs="Tw Cen MT"/>
          <w:b w:val="0"/>
          <w:bCs w:val="0"/>
          <w:sz w:val="18"/>
          <w:szCs w:val="18"/>
        </w:rPr>
        <w:t xml:space="preserve"> </w:t>
      </w:r>
      <w:r w:rsidRPr="00D02F2A">
        <w:rPr>
          <w:rFonts w:ascii="Tw Cen MT" w:eastAsia="Tw Cen MT" w:hAnsi="Tw Cen MT" w:cs="Tw Cen MT"/>
          <w:b w:val="0"/>
          <w:bCs w:val="0"/>
          <w:sz w:val="18"/>
          <w:szCs w:val="18"/>
        </w:rPr>
        <w:t>Findings</w:t>
      </w:r>
      <w:r>
        <w:rPr>
          <w:rFonts w:ascii="Tw Cen MT" w:eastAsia="Tw Cen MT" w:hAnsi="Tw Cen MT" w:cs="Tw Cen MT"/>
          <w:b w:val="0"/>
          <w:bCs w:val="0"/>
          <w:sz w:val="18"/>
          <w:szCs w:val="18"/>
        </w:rPr>
        <w:t xml:space="preserve">. </w:t>
      </w:r>
      <w:r w:rsidRPr="00D02F2A">
        <w:rPr>
          <w:rFonts w:ascii="Tw Cen MT" w:eastAsia="Tw Cen MT" w:hAnsi="Tw Cen MT" w:cs="Tw Cen MT"/>
          <w:b w:val="0"/>
          <w:bCs w:val="0"/>
          <w:sz w:val="18"/>
          <w:szCs w:val="18"/>
        </w:rPr>
        <w:t>Functional cardiac improvement was evident by increases in left (by 5.8%±7.8%, p=0.006) and right ventricular ejection fraction (by 4.5%±11.4%, p=0.085) in the second CMR compared to the first. Notably, Late Gadolinium Enhancement, currently considered to denote replacement fibrosis, decreased by 3.1%±3.8% (p=0.003), resolving in 6 patients.  Markers of myocardial edema, namely T2-ratio and T2-mapping, decreased by 0.27±0.40 (p=0.013) and 6.0±7 (p=0.025), respectively. Conversely, T1-mapping, considered to reflect acute edema and diffuse fibrosis, and extracellular volume fraction, reflecting diffuse fibrosis, remained unchanged.</w:t>
      </w:r>
      <w:r w:rsidR="00E86141">
        <w:rPr>
          <w:rFonts w:ascii="Tw Cen MT" w:eastAsia="Tw Cen MT" w:hAnsi="Tw Cen MT" w:cs="Tw Cen MT"/>
          <w:b w:val="0"/>
          <w:bCs w:val="0"/>
          <w:sz w:val="18"/>
          <w:szCs w:val="18"/>
        </w:rPr>
        <w:t xml:space="preserve"> </w:t>
      </w:r>
      <w:r w:rsidRPr="00D02F2A">
        <w:rPr>
          <w:rFonts w:ascii="Tw Cen MT" w:eastAsia="Tw Cen MT" w:hAnsi="Tw Cen MT" w:cs="Tw Cen MT"/>
          <w:b w:val="0"/>
          <w:bCs w:val="0"/>
          <w:sz w:val="18"/>
          <w:szCs w:val="18"/>
        </w:rPr>
        <w:t>Conclusion and significance</w:t>
      </w:r>
      <w:r>
        <w:rPr>
          <w:rFonts w:ascii="Tw Cen MT" w:eastAsia="Tw Cen MT" w:hAnsi="Tw Cen MT" w:cs="Tw Cen MT"/>
          <w:b w:val="0"/>
          <w:bCs w:val="0"/>
          <w:sz w:val="18"/>
          <w:szCs w:val="18"/>
        </w:rPr>
        <w:t xml:space="preserve">. </w:t>
      </w:r>
      <w:r w:rsidRPr="00D02F2A">
        <w:rPr>
          <w:rFonts w:ascii="Tw Cen MT" w:eastAsia="Tw Cen MT" w:hAnsi="Tw Cen MT" w:cs="Tw Cen MT"/>
          <w:b w:val="0"/>
          <w:bCs w:val="0"/>
          <w:sz w:val="18"/>
          <w:szCs w:val="18"/>
        </w:rPr>
        <w:t xml:space="preserve">CMR may distinguish between reversible inflammatory/fibrotic and irreversible fibrotic lesions in SSc patients with active myocarditis, confirming the unique nature of primary cardiac involvement in SSc. Whether, and how, CMR should be used to monitor treatment effects in SSc-associated myocarditis warrants further study. </w:t>
      </w:r>
    </w:p>
    <w:p w:rsidR="00AE3E37" w:rsidRDefault="00E86141" w:rsidP="00D02F2A">
      <w:pPr>
        <w:pStyle w:val="BodyText"/>
        <w:spacing w:before="2"/>
        <w:jc w:val="both"/>
        <w:rPr>
          <w:rFonts w:ascii="Arial"/>
          <w:b/>
          <w:sz w:val="16"/>
        </w:rPr>
      </w:pPr>
      <w:r>
        <w:rPr>
          <w:rFonts w:ascii="Arial"/>
          <w:b/>
          <w:noProof/>
          <w:sz w:val="16"/>
        </w:rPr>
        <w:drawing>
          <wp:inline distT="0" distB="0" distL="0" distR="0">
            <wp:extent cx="2731448" cy="3025140"/>
            <wp:effectExtent l="0" t="0" r="0" b="3810"/>
            <wp:docPr id="14505009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50091" name="Picture 14505009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44836" cy="3039967"/>
                    </a:xfrm>
                    <a:prstGeom prst="rect">
                      <a:avLst/>
                    </a:prstGeom>
                  </pic:spPr>
                </pic:pic>
              </a:graphicData>
            </a:graphic>
          </wp:inline>
        </w:drawing>
      </w:r>
    </w:p>
    <w:p w:rsidR="005973B9" w:rsidRPr="00843568" w:rsidRDefault="005973B9" w:rsidP="00D02F2A">
      <w:pPr>
        <w:spacing w:line="204" w:lineRule="exact"/>
        <w:jc w:val="both"/>
        <w:rPr>
          <w:rFonts w:ascii="Arial"/>
          <w:bCs/>
          <w:sz w:val="18"/>
          <w:szCs w:val="18"/>
        </w:rPr>
      </w:pPr>
      <w:r w:rsidRPr="00843568">
        <w:rPr>
          <w:rFonts w:ascii="Arial"/>
          <w:b/>
          <w:color w:val="BF5A14"/>
          <w:sz w:val="18"/>
          <w:szCs w:val="18"/>
        </w:rPr>
        <w:br/>
      </w:r>
      <w:r w:rsidRPr="00843568">
        <w:rPr>
          <w:rFonts w:ascii="Arial"/>
          <w:bCs/>
          <w:sz w:val="18"/>
          <w:szCs w:val="18"/>
        </w:rPr>
        <w:t xml:space="preserve">Recent Publications </w:t>
      </w:r>
    </w:p>
    <w:p w:rsidR="00E86141" w:rsidRPr="00747ADA" w:rsidRDefault="00E86141" w:rsidP="00D02F2A">
      <w:pPr>
        <w:pStyle w:val="ListParagraph"/>
        <w:numPr>
          <w:ilvl w:val="0"/>
          <w:numId w:val="3"/>
        </w:numPr>
        <w:tabs>
          <w:tab w:val="left" w:pos="384"/>
        </w:tabs>
        <w:spacing w:line="216" w:lineRule="exact"/>
        <w:ind w:right="137" w:hanging="283"/>
        <w:rPr>
          <w:sz w:val="18"/>
          <w:szCs w:val="18"/>
        </w:rPr>
      </w:pPr>
      <w:r w:rsidRPr="00747ADA">
        <w:rPr>
          <w:sz w:val="18"/>
          <w:szCs w:val="18"/>
        </w:rPr>
        <w:t>Bournia VK, Protogerou AD, Panopoulos S,</w:t>
      </w:r>
      <w:r w:rsidR="00843568">
        <w:rPr>
          <w:sz w:val="18"/>
          <w:szCs w:val="18"/>
        </w:rPr>
        <w:t xml:space="preserve"> et al</w:t>
      </w:r>
      <w:r w:rsidRPr="00747ADA">
        <w:rPr>
          <w:sz w:val="18"/>
          <w:szCs w:val="18"/>
        </w:rPr>
        <w:t xml:space="preserve"> (2008) Update on assessment and management of primary cardiac involvement in systemic sclerosis. J Scleroderma Relat Disord 3:53–65. </w:t>
      </w:r>
    </w:p>
    <w:p w:rsidR="00E86141" w:rsidRDefault="00E86141" w:rsidP="00D02F2A">
      <w:pPr>
        <w:pStyle w:val="ListParagraph"/>
        <w:numPr>
          <w:ilvl w:val="0"/>
          <w:numId w:val="3"/>
        </w:numPr>
        <w:tabs>
          <w:tab w:val="left" w:pos="384"/>
        </w:tabs>
        <w:spacing w:line="216" w:lineRule="exact"/>
        <w:ind w:right="138" w:hanging="283"/>
        <w:rPr>
          <w:sz w:val="18"/>
          <w:szCs w:val="18"/>
        </w:rPr>
      </w:pPr>
      <w:r w:rsidRPr="00747ADA">
        <w:rPr>
          <w:sz w:val="18"/>
          <w:szCs w:val="18"/>
        </w:rPr>
        <w:t xml:space="preserve">De Luca G, Bombace S, Monti L (2022) Heart Involvement in Systemic Sclerosis: </w:t>
      </w:r>
      <w:r w:rsidR="00747ADA" w:rsidRPr="00747ADA">
        <w:rPr>
          <w:sz w:val="18"/>
          <w:szCs w:val="18"/>
        </w:rPr>
        <w:t>The</w:t>
      </w:r>
      <w:r w:rsidRPr="00747ADA">
        <w:rPr>
          <w:sz w:val="18"/>
          <w:szCs w:val="18"/>
        </w:rPr>
        <w:t xml:space="preserve"> Role of Magnetic Resonance Imaging. Clin Rev Allergy Immunol doi: 10.1007/s12016-022-08923-3.</w:t>
      </w:r>
    </w:p>
    <w:p w:rsidR="00747ADA" w:rsidRPr="0072066F" w:rsidRDefault="00843568" w:rsidP="0072066F">
      <w:pPr>
        <w:pStyle w:val="ListParagraph"/>
        <w:numPr>
          <w:ilvl w:val="0"/>
          <w:numId w:val="3"/>
        </w:numPr>
        <w:tabs>
          <w:tab w:val="left" w:pos="384"/>
        </w:tabs>
        <w:spacing w:line="216" w:lineRule="exact"/>
        <w:ind w:right="138" w:hanging="283"/>
        <w:rPr>
          <w:sz w:val="18"/>
          <w:szCs w:val="18"/>
        </w:rPr>
      </w:pPr>
      <w:r>
        <w:rPr>
          <w:sz w:val="18"/>
          <w:szCs w:val="18"/>
        </w:rPr>
        <w:t>De Luca G, Palmisano A, Campochiaro C, et al (2022) Cardiac magnetic resonance in Systemic Sclerosis myocarditis</w:t>
      </w:r>
      <w:r w:rsidR="0072066F">
        <w:rPr>
          <w:sz w:val="18"/>
          <w:szCs w:val="18"/>
        </w:rPr>
        <w:t xml:space="preserve">: the value of T2 mapping to detect myocardial inflammation Rheumatology. </w:t>
      </w:r>
      <w:r w:rsidR="00747ADA" w:rsidRPr="0072066F">
        <w:rPr>
          <w:sz w:val="18"/>
          <w:szCs w:val="18"/>
        </w:rPr>
        <w:t>doi:10.1093/rheumatology/keac098</w:t>
      </w:r>
    </w:p>
    <w:p w:rsidR="00747ADA" w:rsidRPr="00747ADA" w:rsidRDefault="00747ADA" w:rsidP="00747ADA">
      <w:pPr>
        <w:pStyle w:val="ListParagraph"/>
        <w:numPr>
          <w:ilvl w:val="0"/>
          <w:numId w:val="3"/>
        </w:numPr>
        <w:tabs>
          <w:tab w:val="left" w:pos="384"/>
        </w:tabs>
        <w:spacing w:before="92" w:line="218" w:lineRule="exact"/>
        <w:ind w:hanging="283"/>
        <w:rPr>
          <w:sz w:val="18"/>
          <w:szCs w:val="18"/>
        </w:rPr>
      </w:pPr>
      <w:r w:rsidRPr="00747ADA">
        <w:rPr>
          <w:sz w:val="18"/>
          <w:szCs w:val="18"/>
        </w:rPr>
        <w:t>Yu J, Guensch DP, Fischer K, Nadeshalingam G,</w:t>
      </w:r>
      <w:r w:rsidR="00843568">
        <w:rPr>
          <w:sz w:val="18"/>
          <w:szCs w:val="18"/>
        </w:rPr>
        <w:t xml:space="preserve"> et al</w:t>
      </w:r>
      <w:r>
        <w:rPr>
          <w:sz w:val="18"/>
          <w:szCs w:val="18"/>
        </w:rPr>
        <w:t xml:space="preserve"> </w:t>
      </w:r>
      <w:r w:rsidRPr="00747ADA">
        <w:rPr>
          <w:sz w:val="18"/>
          <w:szCs w:val="18"/>
        </w:rPr>
        <w:t>(2014) Performance of T1 mapping vs. T2 mapping for assessing myocardial edema. J Cardiovasc Magn Reson 16:1–2.</w:t>
      </w:r>
      <w:r w:rsidR="005973B9" w:rsidRPr="00747ADA">
        <w:rPr>
          <w:sz w:val="18"/>
          <w:szCs w:val="18"/>
        </w:rPr>
        <w:t xml:space="preserve">5. </w:t>
      </w:r>
    </w:p>
    <w:p w:rsidR="00AE3E37" w:rsidRPr="00747ADA" w:rsidRDefault="00747ADA" w:rsidP="00747ADA">
      <w:pPr>
        <w:pStyle w:val="ListParagraph"/>
        <w:numPr>
          <w:ilvl w:val="0"/>
          <w:numId w:val="3"/>
        </w:numPr>
        <w:tabs>
          <w:tab w:val="left" w:pos="384"/>
        </w:tabs>
        <w:spacing w:before="92" w:line="218" w:lineRule="exact"/>
        <w:ind w:hanging="283"/>
        <w:rPr>
          <w:sz w:val="18"/>
          <w:szCs w:val="18"/>
        </w:rPr>
      </w:pPr>
      <w:r w:rsidRPr="00747ADA">
        <w:rPr>
          <w:sz w:val="18"/>
          <w:szCs w:val="18"/>
        </w:rPr>
        <w:t>Pieroni M, De Santis M, Zizzo G,</w:t>
      </w:r>
      <w:r w:rsidR="00843568">
        <w:rPr>
          <w:sz w:val="18"/>
          <w:szCs w:val="18"/>
        </w:rPr>
        <w:t xml:space="preserve"> et al</w:t>
      </w:r>
      <w:r w:rsidRPr="00747ADA">
        <w:rPr>
          <w:sz w:val="18"/>
          <w:szCs w:val="18"/>
        </w:rPr>
        <w:t xml:space="preserve"> (2014)</w:t>
      </w:r>
      <w:r>
        <w:rPr>
          <w:sz w:val="18"/>
          <w:szCs w:val="18"/>
        </w:rPr>
        <w:t xml:space="preserve"> </w:t>
      </w:r>
      <w:r w:rsidRPr="00747ADA">
        <w:rPr>
          <w:sz w:val="18"/>
          <w:szCs w:val="18"/>
        </w:rPr>
        <w:t>Recognizing and treating myocarditis in recent-onset systemic sclerosis heart disease: potential utility of immunosuppressive therapy in cardiac damage progression. Semin Arthritis Rheum 43:526–35.</w:t>
      </w:r>
    </w:p>
    <w:p w:rsidR="00AE3E37" w:rsidRPr="00747ADA" w:rsidRDefault="008756E6" w:rsidP="00D02F2A">
      <w:pPr>
        <w:spacing w:line="200" w:lineRule="exact"/>
        <w:jc w:val="both"/>
        <w:rPr>
          <w:rFonts w:ascii="Calibri" w:hAnsi="Calibri"/>
          <w:sz w:val="16"/>
          <w:szCs w:val="16"/>
        </w:rPr>
        <w:sectPr w:rsidR="00AE3E37" w:rsidRPr="00747ADA">
          <w:type w:val="continuous"/>
          <w:pgSz w:w="11910" w:h="16840"/>
          <w:pgMar w:top="1740" w:right="600" w:bottom="840" w:left="620" w:header="720" w:footer="720" w:gutter="0"/>
          <w:cols w:num="2" w:space="720" w:equalWidth="0">
            <w:col w:w="5214" w:space="138"/>
            <w:col w:w="5338"/>
          </w:cols>
        </w:sectPr>
      </w:pPr>
      <w:r w:rsidRPr="00747ADA">
        <w:rPr>
          <w:rFonts w:ascii="Calibri" w:hAnsi="Calibri"/>
          <w:sz w:val="16"/>
          <w:szCs w:val="16"/>
        </w:rPr>
        <w:t xml:space="preserve">   </w:t>
      </w:r>
    </w:p>
    <w:p w:rsidR="00AE3E37" w:rsidRPr="00D62425" w:rsidRDefault="00D62425" w:rsidP="00D02F2A">
      <w:pPr>
        <w:pStyle w:val="BodyText"/>
        <w:jc w:val="both"/>
        <w:rPr>
          <w:rFonts w:ascii="Calibri"/>
          <w:b/>
          <w:sz w:val="20"/>
        </w:rPr>
      </w:pPr>
      <w:r>
        <w:rPr>
          <w:rFonts w:ascii="Calibri"/>
          <w:sz w:val="20"/>
        </w:rPr>
        <w:t xml:space="preserve">                 </w:t>
      </w: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E7CCB0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050BED" w:rsidRPr="00050BED" w:rsidRDefault="008756E6" w:rsidP="00050BED">
      <w:pPr>
        <w:spacing w:before="92"/>
        <w:ind w:right="484"/>
        <w:rPr>
          <w:rFonts w:ascii="Arial"/>
          <w:sz w:val="14"/>
        </w:rPr>
      </w:pPr>
      <w:r>
        <w:rPr>
          <w:noProof/>
        </w:rPr>
        <w:t xml:space="preserve">        </w:t>
      </w:r>
      <w:r w:rsidR="00050BED">
        <w:rPr>
          <w:noProof/>
        </w:rPr>
        <w:drawing>
          <wp:inline distT="0" distB="0" distL="0" distR="0">
            <wp:extent cx="465105" cy="471805"/>
            <wp:effectExtent l="0" t="0" r="0" b="4445"/>
            <wp:docPr id="9609651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965144" name="Picture 96096514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74185" cy="481015"/>
                    </a:xfrm>
                    <a:prstGeom prst="rect">
                      <a:avLst/>
                    </a:prstGeom>
                  </pic:spPr>
                </pic:pic>
              </a:graphicData>
            </a:graphic>
          </wp:inline>
        </w:drawing>
      </w:r>
      <w:r w:rsidR="00747ADA">
        <w:rPr>
          <w:noProof/>
        </w:rPr>
        <w:t xml:space="preserve">     </w:t>
      </w:r>
      <w:r w:rsidR="00A9710C">
        <w:rPr>
          <w:rFonts w:ascii="Arial"/>
          <w:sz w:val="14"/>
        </w:rPr>
        <w:t>D</w:t>
      </w:r>
      <w:r w:rsidR="00747ADA">
        <w:rPr>
          <w:rFonts w:ascii="Arial"/>
          <w:sz w:val="14"/>
        </w:rPr>
        <w:t xml:space="preserve">r Panopoulos </w:t>
      </w:r>
      <w:r w:rsidR="00843568">
        <w:rPr>
          <w:rFonts w:ascii="Arial"/>
          <w:sz w:val="14"/>
        </w:rPr>
        <w:t xml:space="preserve">is a Rheumatologist in General Hospital of Athens </w:t>
      </w:r>
      <w:r w:rsidR="00843568">
        <w:rPr>
          <w:rFonts w:ascii="Arial"/>
          <w:sz w:val="14"/>
          <w:lang w:val="el-GR"/>
        </w:rPr>
        <w:t>΄΄</w:t>
      </w:r>
      <w:r w:rsidR="00843568">
        <w:rPr>
          <w:rFonts w:ascii="Arial"/>
          <w:sz w:val="14"/>
        </w:rPr>
        <w:t>LAIKO</w:t>
      </w:r>
      <w:r w:rsidR="00843568">
        <w:rPr>
          <w:rFonts w:ascii="Arial"/>
          <w:sz w:val="14"/>
          <w:lang w:val="el-GR"/>
        </w:rPr>
        <w:t>΄΄</w:t>
      </w:r>
      <w:r w:rsidR="00843568" w:rsidRPr="00843568">
        <w:rPr>
          <w:rFonts w:ascii="Arial"/>
          <w:sz w:val="14"/>
        </w:rPr>
        <w:t xml:space="preserve">.  </w:t>
      </w:r>
      <w:r w:rsidR="00843568">
        <w:rPr>
          <w:rFonts w:ascii="Arial"/>
          <w:sz w:val="14"/>
        </w:rPr>
        <w:t xml:space="preserve">He has studied thoroughly the pathogenesis and clinical course of Systemic </w:t>
      </w:r>
      <w:r w:rsidR="00B52343">
        <w:rPr>
          <w:rFonts w:ascii="Arial"/>
          <w:sz w:val="14"/>
        </w:rPr>
        <w:t>S</w:t>
      </w:r>
      <w:r w:rsidR="00843568">
        <w:rPr>
          <w:rFonts w:ascii="Arial"/>
          <w:sz w:val="14"/>
        </w:rPr>
        <w:t xml:space="preserve">clerosis and has published several original articles regarding the efficacy of different therapeutic regimens for the management of </w:t>
      </w:r>
      <w:r w:rsidR="00B52343">
        <w:rPr>
          <w:rFonts w:ascii="Arial"/>
          <w:sz w:val="14"/>
        </w:rPr>
        <w:t xml:space="preserve">the </w:t>
      </w:r>
      <w:r w:rsidR="00843568">
        <w:rPr>
          <w:rFonts w:ascii="Arial"/>
          <w:sz w:val="14"/>
        </w:rPr>
        <w:t xml:space="preserve">major clinical manifestations of Systemic Sclerosis as the interstitial lung fibrosis, the </w:t>
      </w:r>
      <w:r w:rsidR="00B52343">
        <w:rPr>
          <w:rFonts w:ascii="Arial"/>
          <w:sz w:val="14"/>
        </w:rPr>
        <w:t>heart</w:t>
      </w:r>
      <w:r w:rsidR="00843568">
        <w:rPr>
          <w:rFonts w:ascii="Arial"/>
          <w:sz w:val="14"/>
        </w:rPr>
        <w:t xml:space="preserve"> involvement</w:t>
      </w:r>
      <w:r w:rsidR="00B52343">
        <w:rPr>
          <w:rFonts w:ascii="Arial"/>
          <w:sz w:val="14"/>
        </w:rPr>
        <w:t xml:space="preserve"> </w:t>
      </w:r>
      <w:r w:rsidR="00050BED">
        <w:rPr>
          <w:rFonts w:ascii="Arial"/>
          <w:sz w:val="14"/>
        </w:rPr>
        <w:t>or the</w:t>
      </w:r>
      <w:r w:rsidR="00843568">
        <w:rPr>
          <w:rFonts w:ascii="Arial"/>
          <w:sz w:val="14"/>
        </w:rPr>
        <w:t xml:space="preserve"> </w:t>
      </w:r>
      <w:r w:rsidR="00B52343">
        <w:rPr>
          <w:rFonts w:ascii="Arial"/>
          <w:sz w:val="14"/>
        </w:rPr>
        <w:t>esophageal</w:t>
      </w:r>
      <w:r w:rsidR="00843568">
        <w:rPr>
          <w:rFonts w:ascii="Arial"/>
          <w:sz w:val="14"/>
        </w:rPr>
        <w:t xml:space="preserve"> involvement</w:t>
      </w:r>
      <w:r w:rsidR="00B52343">
        <w:rPr>
          <w:rFonts w:ascii="Arial"/>
          <w:sz w:val="14"/>
        </w:rPr>
        <w:t>.</w:t>
      </w:r>
    </w:p>
    <w:p w:rsidR="00AE3E37" w:rsidRDefault="00050BED" w:rsidP="00050BED">
      <w:pPr>
        <w:spacing w:before="92"/>
        <w:ind w:right="484"/>
        <w:rPr>
          <w:rFonts w:ascii="Arial"/>
          <w:sz w:val="14"/>
        </w:rPr>
      </w:pPr>
      <w:r w:rsidRPr="00050BED">
        <w:rPr>
          <w:rFonts w:ascii="Arial"/>
          <w:sz w:val="14"/>
        </w:rPr>
        <w:t xml:space="preserve">                                                                                                               </w:t>
      </w:r>
      <w:r w:rsidR="00A9710C">
        <w:rPr>
          <w:rFonts w:ascii="Arial"/>
          <w:sz w:val="14"/>
        </w:rPr>
        <w:t xml:space="preserve">Email: </w:t>
      </w:r>
      <w:r w:rsidR="00D02F2A">
        <w:rPr>
          <w:rFonts w:ascii="Arial"/>
          <w:sz w:val="14"/>
        </w:rPr>
        <w:t>sty.panopoulos@gmail.co</w:t>
      </w:r>
      <w:r w:rsidR="00B52343">
        <w:rPr>
          <w:rFonts w:ascii="Arial"/>
          <w:sz w:val="14"/>
        </w:rPr>
        <w:t>m</w:t>
      </w:r>
    </w:p>
    <w:p w:rsidR="00AE3E37" w:rsidRDefault="00AE3E37">
      <w:pPr>
        <w:pStyle w:val="BodyText"/>
        <w:spacing w:before="2"/>
        <w:rPr>
          <w:rFonts w:ascii="Arial"/>
          <w:sz w:val="19"/>
        </w:rPr>
      </w:pPr>
    </w:p>
    <w:p w:rsidR="00AE3E37" w:rsidRPr="008D44A9" w:rsidRDefault="00D02F2A" w:rsidP="008D44A9">
      <w:pPr>
        <w:pStyle w:val="BodyText"/>
        <w:rPr>
          <w:rFonts w:ascii="Arial"/>
          <w:sz w:val="20"/>
        </w:rPr>
        <w:sectPr w:rsidR="00AE3E37" w:rsidRPr="008D44A9">
          <w:type w:val="continuous"/>
          <w:pgSz w:w="11910" w:h="16840"/>
          <w:pgMar w:top="1740" w:right="600" w:bottom="840" w:left="620" w:header="720" w:footer="720" w:gutter="0"/>
          <w:cols w:space="720"/>
        </w:sectPr>
      </w:pPr>
      <w:r>
        <w:rPr>
          <w:noProof/>
          <w:lang w:val="en-IN" w:eastAsia="en-IN"/>
        </w:rPr>
        <mc:AlternateContent>
          <mc:Choice Requires="wps">
            <w:drawing>
              <wp:anchor distT="0" distB="0" distL="0" distR="0" simplePos="0" relativeHeight="251656704" behindDoc="0" locked="0" layoutInCell="1" allowOverlap="1">
                <wp:simplePos x="0" y="0"/>
                <wp:positionH relativeFrom="page">
                  <wp:posOffset>2058670</wp:posOffset>
                </wp:positionH>
                <wp:positionV relativeFrom="paragraph">
                  <wp:posOffset>135255</wp:posOffset>
                </wp:positionV>
                <wp:extent cx="3442335" cy="0"/>
                <wp:effectExtent l="0" t="0" r="0" b="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65134E" id="Line 3" o:spid="_x0000_s1026" style="position:absolute;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0.65pt" to="433.15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" strokecolor="#004080" strokeweight=".5pt">
                <w10:wrap type="topAndBottom" anchorx="page"/>
              </v:line>
            </w:pict>
          </mc:Fallback>
        </mc:AlternateConten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B5060" w:rsidRDefault="008B5060">
      <w:r>
        <w:separator/>
      </w:r>
    </w:p>
  </w:endnote>
  <w:endnote w:type="continuationSeparator" w:id="0">
    <w:p w:rsidR="008B5060" w:rsidRDefault="008B50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A1"/>
    <w:family w:val="swiss"/>
    <w:pitch w:val="variable"/>
    <w:sig w:usb0="00000287"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XQLQrNoBAACYAwAADgAAAAAAAAAAAAAAAAAuAgAAZHJzL2Uyb0RvYy54bWxQSwECLQAUAAYA&#10;CAAAACEA4y1yTuIAAAAOAQAADwAAAAAAAAAAAAAAAAA0BAAAZHJzL2Rvd25yZXYueG1sUEsFBgAA&#10;AAAEAAQA8wAAAEMFAAA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B5060" w:rsidRDefault="008B5060">
      <w:r>
        <w:separator/>
      </w:r>
    </w:p>
  </w:footnote>
  <w:footnote w:type="continuationSeparator" w:id="0">
    <w:p w:rsidR="008B5060" w:rsidRDefault="008B50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457065997">
    <w:abstractNumId w:val="0"/>
  </w:num>
  <w:num w:numId="2" w16cid:durableId="220987465">
    <w:abstractNumId w:val="1"/>
  </w:num>
  <w:num w:numId="3" w16cid:durableId="143185359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50BED"/>
    <w:rsid w:val="000E2911"/>
    <w:rsid w:val="001263DF"/>
    <w:rsid w:val="001E763C"/>
    <w:rsid w:val="00292ED9"/>
    <w:rsid w:val="00314AFB"/>
    <w:rsid w:val="003B76D9"/>
    <w:rsid w:val="003C563F"/>
    <w:rsid w:val="003E2ADE"/>
    <w:rsid w:val="00404E5B"/>
    <w:rsid w:val="00414F7B"/>
    <w:rsid w:val="004355DC"/>
    <w:rsid w:val="004749B4"/>
    <w:rsid w:val="00494130"/>
    <w:rsid w:val="004F3523"/>
    <w:rsid w:val="005973B9"/>
    <w:rsid w:val="005B3A56"/>
    <w:rsid w:val="006060CE"/>
    <w:rsid w:val="0063497F"/>
    <w:rsid w:val="006917F5"/>
    <w:rsid w:val="0072066F"/>
    <w:rsid w:val="00747ADA"/>
    <w:rsid w:val="0078738A"/>
    <w:rsid w:val="00843568"/>
    <w:rsid w:val="0086420E"/>
    <w:rsid w:val="00873DF0"/>
    <w:rsid w:val="008756E6"/>
    <w:rsid w:val="008B5060"/>
    <w:rsid w:val="008D44A9"/>
    <w:rsid w:val="009527AD"/>
    <w:rsid w:val="009B2D44"/>
    <w:rsid w:val="00A07E82"/>
    <w:rsid w:val="00A9710C"/>
    <w:rsid w:val="00AE3E37"/>
    <w:rsid w:val="00B21A57"/>
    <w:rsid w:val="00B52343"/>
    <w:rsid w:val="00C06AB5"/>
    <w:rsid w:val="00C33602"/>
    <w:rsid w:val="00CD6F55"/>
    <w:rsid w:val="00D02F2A"/>
    <w:rsid w:val="00D62425"/>
    <w:rsid w:val="00DE3104"/>
    <w:rsid w:val="00E12C3D"/>
    <w:rsid w:val="00E86141"/>
    <w:rsid w:val="00EF4C4B"/>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8976CB"/>
  <w15:docId w15:val="{96844767-E94B-468F-8616-292B817E6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713</Words>
  <Characters>3853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stel pan</cp:lastModifiedBy>
  <cp:revision>3</cp:revision>
  <dcterms:created xsi:type="dcterms:W3CDTF">2023-05-10T08:07:00Z</dcterms:created>
  <dcterms:modified xsi:type="dcterms:W3CDTF">2023-05-10T08:07:00Z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