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C2" w:rsidRPr="00474FC2" w:rsidRDefault="00474FC2" w:rsidP="00474FC2">
      <w:pPr>
        <w:widowControl w:val="0"/>
        <w:autoSpaceDE w:val="0"/>
        <w:autoSpaceDN w:val="0"/>
        <w:adjustRightInd w:val="0"/>
        <w:spacing w:after="0" w:line="240" w:lineRule="auto"/>
        <w:rPr>
          <w:rFonts w:ascii="Times New Roman" w:hAnsi="Times New Roman"/>
          <w:b/>
          <w:sz w:val="24"/>
          <w:szCs w:val="24"/>
        </w:rPr>
      </w:pPr>
      <w:bookmarkStart w:id="0" w:name="page1"/>
      <w:bookmarkEnd w:id="0"/>
      <w:r w:rsidRPr="00474FC2">
        <w:rPr>
          <w:rFonts w:ascii="Calibri" w:hAnsi="Calibri" w:cs="Calibri"/>
          <w:b/>
        </w:rPr>
        <w:t>World Congress and Exhibition on</w:t>
      </w:r>
    </w:p>
    <w:p w:rsidR="00474FC2" w:rsidRPr="00474FC2" w:rsidRDefault="00474FC2" w:rsidP="00474FC2">
      <w:pPr>
        <w:widowControl w:val="0"/>
        <w:autoSpaceDE w:val="0"/>
        <w:autoSpaceDN w:val="0"/>
        <w:adjustRightInd w:val="0"/>
        <w:spacing w:after="0" w:line="238" w:lineRule="auto"/>
        <w:ind w:left="2240"/>
        <w:rPr>
          <w:rFonts w:ascii="Times New Roman" w:hAnsi="Times New Roman"/>
          <w:color w:val="5F497A" w:themeColor="accent4" w:themeShade="BF"/>
          <w:sz w:val="24"/>
          <w:szCs w:val="24"/>
        </w:rPr>
      </w:pPr>
      <w:r w:rsidRPr="00474FC2">
        <w:rPr>
          <w:rFonts w:ascii="Impact" w:hAnsi="Impact" w:cs="Impact"/>
          <w:b/>
          <w:bCs/>
          <w:color w:val="5F497A" w:themeColor="accent4" w:themeShade="BF"/>
          <w:sz w:val="96"/>
          <w:szCs w:val="96"/>
        </w:rPr>
        <w:t>Wind Energy</w:t>
      </w:r>
    </w:p>
    <w:p w:rsidR="00474FC2" w:rsidRPr="00474FC2" w:rsidRDefault="00474FC2" w:rsidP="00474FC2">
      <w:pPr>
        <w:widowControl w:val="0"/>
        <w:autoSpaceDE w:val="0"/>
        <w:autoSpaceDN w:val="0"/>
        <w:adjustRightInd w:val="0"/>
        <w:spacing w:after="0" w:line="234" w:lineRule="auto"/>
        <w:ind w:left="6340"/>
        <w:rPr>
          <w:rFonts w:ascii="Times New Roman" w:hAnsi="Times New Roman"/>
          <w:color w:val="E36C0A" w:themeColor="accent6" w:themeShade="BF"/>
          <w:sz w:val="24"/>
          <w:szCs w:val="24"/>
        </w:rPr>
      </w:pPr>
      <w:r w:rsidRPr="00474FC2">
        <w:rPr>
          <w:rFonts w:ascii="Calibri" w:hAnsi="Calibri" w:cs="Calibri"/>
          <w:color w:val="E36C0A" w:themeColor="accent6" w:themeShade="BF"/>
          <w:sz w:val="21"/>
          <w:szCs w:val="21"/>
        </w:rPr>
        <w:t>Berlin, Germany June 15‐17, 2016</w:t>
      </w:r>
    </w:p>
    <w:p w:rsidR="00474FC2" w:rsidRDefault="00474FC2" w:rsidP="008E7A3A">
      <w:pPr>
        <w:widowControl w:val="0"/>
        <w:autoSpaceDE w:val="0"/>
        <w:autoSpaceDN w:val="0"/>
        <w:adjustRightInd w:val="0"/>
        <w:spacing w:after="0" w:line="240" w:lineRule="auto"/>
        <w:rPr>
          <w:rFonts w:ascii="Times New Roman" w:hAnsi="Times New Roman"/>
          <w:b/>
          <w:bCs/>
          <w:sz w:val="24"/>
          <w:szCs w:val="24"/>
        </w:rPr>
      </w:pPr>
    </w:p>
    <w:p w:rsidR="008E7A3A" w:rsidRPr="00B4124A" w:rsidRDefault="008E7A3A" w:rsidP="008E7A3A">
      <w:pPr>
        <w:widowControl w:val="0"/>
        <w:autoSpaceDE w:val="0"/>
        <w:autoSpaceDN w:val="0"/>
        <w:adjustRightInd w:val="0"/>
        <w:spacing w:after="0" w:line="240" w:lineRule="auto"/>
        <w:rPr>
          <w:rFonts w:ascii="Times New Roman" w:hAnsi="Times New Roman"/>
          <w:sz w:val="24"/>
          <w:szCs w:val="24"/>
        </w:rPr>
      </w:pPr>
      <w:r w:rsidRPr="00B4124A">
        <w:rPr>
          <w:rFonts w:ascii="Times New Roman" w:hAnsi="Times New Roman"/>
          <w:b/>
          <w:bCs/>
          <w:sz w:val="24"/>
          <w:szCs w:val="24"/>
        </w:rPr>
        <w:t>Importance &amp; Scope:</w:t>
      </w:r>
    </w:p>
    <w:p w:rsidR="008E7A3A" w:rsidRPr="00B4124A" w:rsidRDefault="008E7A3A" w:rsidP="008E7A3A">
      <w:pPr>
        <w:widowControl w:val="0"/>
        <w:overflowPunct w:val="0"/>
        <w:autoSpaceDE w:val="0"/>
        <w:autoSpaceDN w:val="0"/>
        <w:adjustRightInd w:val="0"/>
        <w:spacing w:after="0" w:line="291" w:lineRule="auto"/>
        <w:jc w:val="both"/>
        <w:rPr>
          <w:rFonts w:ascii="Times New Roman" w:hAnsi="Times New Roman"/>
          <w:sz w:val="24"/>
          <w:szCs w:val="24"/>
        </w:rPr>
      </w:pPr>
      <w:r w:rsidRPr="00B4124A">
        <w:rPr>
          <w:rFonts w:ascii="Times New Roman" w:hAnsi="Times New Roman"/>
          <w:sz w:val="24"/>
          <w:szCs w:val="24"/>
        </w:rPr>
        <w:t>The global wind energy market was worth $130 billion in 2013 and $165.5 billion in 2014. The market is expected to grow at a compound annual growth rate (CAGR) of 7.2% between 2015 and 2020 resulting in $176.2 billion in 2015 and $250 billion in 2020.</w:t>
      </w:r>
    </w:p>
    <w:p w:rsidR="008E7A3A" w:rsidRPr="00B4124A" w:rsidRDefault="008E7A3A" w:rsidP="008E7A3A">
      <w:pPr>
        <w:widowControl w:val="0"/>
        <w:overflowPunct w:val="0"/>
        <w:autoSpaceDE w:val="0"/>
        <w:autoSpaceDN w:val="0"/>
        <w:adjustRightInd w:val="0"/>
        <w:spacing w:after="0" w:line="286" w:lineRule="auto"/>
        <w:jc w:val="both"/>
        <w:rPr>
          <w:rFonts w:ascii="Times New Roman" w:hAnsi="Times New Roman"/>
          <w:sz w:val="24"/>
          <w:szCs w:val="24"/>
        </w:rPr>
      </w:pPr>
      <w:r w:rsidRPr="00B4124A">
        <w:rPr>
          <w:rFonts w:ascii="Times New Roman" w:hAnsi="Times New Roman"/>
          <w:sz w:val="24"/>
          <w:szCs w:val="24"/>
        </w:rPr>
        <w:t>The power sector is responsible for more than 40% of all carbon dioxide emissions from burning fossil fuels, and about 25% of our total greenhouse gas emissions. If we are going to make significant emission reductions in the near to medium term, then we have to look at the power sector. In the period out to 2020, we don’t have too many options.</w:t>
      </w:r>
    </w:p>
    <w:p w:rsidR="008E7A3A" w:rsidRPr="00B4124A" w:rsidRDefault="008E7A3A" w:rsidP="008E7A3A">
      <w:pPr>
        <w:widowControl w:val="0"/>
        <w:overflowPunct w:val="0"/>
        <w:autoSpaceDE w:val="0"/>
        <w:autoSpaceDN w:val="0"/>
        <w:adjustRightInd w:val="0"/>
        <w:spacing w:after="0" w:line="281" w:lineRule="auto"/>
        <w:jc w:val="both"/>
        <w:rPr>
          <w:rFonts w:ascii="Times New Roman" w:hAnsi="Times New Roman"/>
          <w:sz w:val="24"/>
          <w:szCs w:val="24"/>
        </w:rPr>
      </w:pPr>
      <w:r w:rsidRPr="00B4124A">
        <w:rPr>
          <w:rFonts w:ascii="Times New Roman" w:hAnsi="Times New Roman"/>
          <w:sz w:val="24"/>
          <w:szCs w:val="24"/>
        </w:rPr>
        <w:t>Since the end of 2009, however, we’ve fallen back towards the Moderate scenario track. The same forces that have put the climate change agenda on the back burner for the past couple of years – recession in most of the OECD, the lack of EU ambition to ‘fix’ its emission trading system, fickle policy in the US and elsewhere – have contributed to slower growth in the wind energy sector – a flat market in 2010, modest growth in 2011 and again this year; and a very uncertain 2013 market. On the Moderate scenario track out to 2020 we would still see a cumulative capacity of more than 750 GW, and annual CO2 savings on the order of 1 billion</w:t>
      </w:r>
    </w:p>
    <w:p w:rsidR="008E7A3A" w:rsidRPr="00B4124A" w:rsidRDefault="008E7A3A" w:rsidP="008E7A3A">
      <w:pPr>
        <w:widowControl w:val="0"/>
        <w:autoSpaceDE w:val="0"/>
        <w:autoSpaceDN w:val="0"/>
        <w:adjustRightInd w:val="0"/>
        <w:spacing w:after="0" w:line="10" w:lineRule="exact"/>
        <w:rPr>
          <w:rFonts w:ascii="Times New Roman" w:hAnsi="Times New Roman"/>
          <w:sz w:val="24"/>
          <w:szCs w:val="24"/>
        </w:rPr>
      </w:pPr>
      <w:bookmarkStart w:id="1" w:name="page2"/>
      <w:bookmarkEnd w:id="1"/>
    </w:p>
    <w:p w:rsidR="008E7A3A" w:rsidRPr="00B4124A" w:rsidRDefault="008E7A3A" w:rsidP="008E7A3A">
      <w:pPr>
        <w:widowControl w:val="0"/>
        <w:overflowPunct w:val="0"/>
        <w:autoSpaceDE w:val="0"/>
        <w:autoSpaceDN w:val="0"/>
        <w:adjustRightInd w:val="0"/>
        <w:spacing w:after="0" w:line="255" w:lineRule="auto"/>
        <w:rPr>
          <w:rFonts w:ascii="Times New Roman" w:hAnsi="Times New Roman"/>
          <w:sz w:val="24"/>
          <w:szCs w:val="24"/>
        </w:rPr>
      </w:pPr>
      <w:proofErr w:type="gramStart"/>
      <w:r w:rsidRPr="00B4124A">
        <w:rPr>
          <w:rFonts w:ascii="Times New Roman" w:hAnsi="Times New Roman"/>
          <w:sz w:val="24"/>
          <w:szCs w:val="24"/>
        </w:rPr>
        <w:t>tons/annum</w:t>
      </w:r>
      <w:proofErr w:type="gramEnd"/>
      <w:r w:rsidRPr="00B4124A">
        <w:rPr>
          <w:rFonts w:ascii="Times New Roman" w:hAnsi="Times New Roman"/>
          <w:sz w:val="24"/>
          <w:szCs w:val="24"/>
        </w:rPr>
        <w:t>. Not insignificant, and better than the old IEA reference scenario upon which the</w:t>
      </w:r>
    </w:p>
    <w:p w:rsidR="008E7A3A" w:rsidRPr="00B4124A" w:rsidRDefault="008E7A3A" w:rsidP="008E7A3A">
      <w:pPr>
        <w:widowControl w:val="0"/>
        <w:autoSpaceDE w:val="0"/>
        <w:autoSpaceDN w:val="0"/>
        <w:adjustRightInd w:val="0"/>
        <w:spacing w:after="0" w:line="2" w:lineRule="exact"/>
        <w:rPr>
          <w:rFonts w:ascii="Times New Roman" w:hAnsi="Times New Roman"/>
          <w:sz w:val="24"/>
          <w:szCs w:val="24"/>
        </w:rPr>
      </w:pPr>
    </w:p>
    <w:p w:rsidR="008E7A3A" w:rsidRPr="00B4124A" w:rsidRDefault="008E7A3A" w:rsidP="008E7A3A">
      <w:pPr>
        <w:widowControl w:val="0"/>
        <w:autoSpaceDE w:val="0"/>
        <w:autoSpaceDN w:val="0"/>
        <w:adjustRightInd w:val="0"/>
        <w:spacing w:after="0" w:line="240" w:lineRule="auto"/>
        <w:rPr>
          <w:rFonts w:ascii="Times New Roman" w:hAnsi="Times New Roman"/>
          <w:sz w:val="24"/>
          <w:szCs w:val="24"/>
        </w:rPr>
      </w:pPr>
      <w:r w:rsidRPr="00B4124A">
        <w:rPr>
          <w:rFonts w:ascii="Times New Roman" w:hAnsi="Times New Roman"/>
          <w:sz w:val="24"/>
          <w:szCs w:val="24"/>
        </w:rPr>
        <w:t>‘</w:t>
      </w:r>
      <w:proofErr w:type="gramStart"/>
      <w:r w:rsidRPr="00B4124A">
        <w:rPr>
          <w:rFonts w:ascii="Times New Roman" w:hAnsi="Times New Roman"/>
          <w:sz w:val="24"/>
          <w:szCs w:val="24"/>
        </w:rPr>
        <w:t>gap</w:t>
      </w:r>
      <w:proofErr w:type="gramEnd"/>
      <w:r w:rsidRPr="00B4124A">
        <w:rPr>
          <w:rFonts w:ascii="Times New Roman" w:hAnsi="Times New Roman"/>
          <w:sz w:val="24"/>
          <w:szCs w:val="24"/>
        </w:rPr>
        <w:t xml:space="preserve"> analysis’ is based, but not sufficient for wind energy to play its full part in combating the</w:t>
      </w:r>
    </w:p>
    <w:p w:rsidR="008E7A3A" w:rsidRPr="00B4124A" w:rsidRDefault="008E7A3A" w:rsidP="008E7A3A">
      <w:pPr>
        <w:widowControl w:val="0"/>
        <w:autoSpaceDE w:val="0"/>
        <w:autoSpaceDN w:val="0"/>
        <w:adjustRightInd w:val="0"/>
        <w:spacing w:after="0" w:line="240" w:lineRule="auto"/>
        <w:rPr>
          <w:rFonts w:ascii="Times New Roman" w:hAnsi="Times New Roman"/>
          <w:sz w:val="24"/>
          <w:szCs w:val="24"/>
        </w:rPr>
      </w:pPr>
      <w:proofErr w:type="gramStart"/>
      <w:r w:rsidRPr="00B4124A">
        <w:rPr>
          <w:rFonts w:ascii="Times New Roman" w:hAnsi="Times New Roman"/>
          <w:sz w:val="24"/>
          <w:szCs w:val="24"/>
        </w:rPr>
        <w:t>Climate crisis.</w:t>
      </w:r>
      <w:proofErr w:type="gramEnd"/>
    </w:p>
    <w:p w:rsidR="008E7A3A" w:rsidRPr="00B4124A" w:rsidRDefault="008E7A3A" w:rsidP="008E7A3A">
      <w:pPr>
        <w:widowControl w:val="0"/>
        <w:autoSpaceDE w:val="0"/>
        <w:autoSpaceDN w:val="0"/>
        <w:adjustRightInd w:val="0"/>
        <w:spacing w:after="0" w:line="240" w:lineRule="auto"/>
        <w:rPr>
          <w:rFonts w:ascii="Times New Roman" w:hAnsi="Times New Roman"/>
          <w:sz w:val="24"/>
          <w:szCs w:val="24"/>
        </w:rPr>
      </w:pPr>
    </w:p>
    <w:p w:rsidR="00A8603A" w:rsidRPr="00B4124A" w:rsidRDefault="00A8603A" w:rsidP="008E7A3A">
      <w:pPr>
        <w:widowControl w:val="0"/>
        <w:autoSpaceDE w:val="0"/>
        <w:autoSpaceDN w:val="0"/>
        <w:adjustRightInd w:val="0"/>
        <w:spacing w:after="0" w:line="240" w:lineRule="auto"/>
        <w:rPr>
          <w:rFonts w:ascii="Times New Roman" w:hAnsi="Times New Roman"/>
          <w:sz w:val="24"/>
          <w:szCs w:val="24"/>
        </w:rPr>
      </w:pPr>
    </w:p>
    <w:p w:rsidR="00A8603A" w:rsidRPr="00B4124A" w:rsidRDefault="00B4124A" w:rsidP="008E7A3A">
      <w:pPr>
        <w:widowControl w:val="0"/>
        <w:autoSpaceDE w:val="0"/>
        <w:autoSpaceDN w:val="0"/>
        <w:adjustRightInd w:val="0"/>
        <w:spacing w:after="0" w:line="240" w:lineRule="auto"/>
        <w:rPr>
          <w:rFonts w:ascii="Times New Roman" w:hAnsi="Times New Roman"/>
          <w:b/>
          <w:bCs/>
          <w:sz w:val="24"/>
          <w:szCs w:val="24"/>
        </w:rPr>
      </w:pPr>
      <w:bookmarkStart w:id="2" w:name="page3"/>
      <w:bookmarkEnd w:id="2"/>
      <w:r w:rsidRPr="00B4124A">
        <w:rPr>
          <w:rFonts w:ascii="Times New Roman" w:hAnsi="Times New Roman"/>
          <w:noProof/>
          <w:sz w:val="24"/>
          <w:szCs w:val="24"/>
        </w:rPr>
        <w:drawing>
          <wp:inline distT="0" distB="0" distL="0" distR="0" wp14:anchorId="412CCE14" wp14:editId="6EEABEB0">
            <wp:extent cx="6092456" cy="2838894"/>
            <wp:effectExtent l="0" t="0" r="2286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8603A" w:rsidRPr="00B4124A" w:rsidRDefault="00A8603A" w:rsidP="008E7A3A">
      <w:pPr>
        <w:widowControl w:val="0"/>
        <w:autoSpaceDE w:val="0"/>
        <w:autoSpaceDN w:val="0"/>
        <w:adjustRightInd w:val="0"/>
        <w:spacing w:after="0" w:line="240" w:lineRule="auto"/>
        <w:rPr>
          <w:rFonts w:ascii="Times New Roman" w:hAnsi="Times New Roman"/>
          <w:b/>
          <w:bCs/>
          <w:sz w:val="24"/>
          <w:szCs w:val="24"/>
        </w:rPr>
      </w:pPr>
    </w:p>
    <w:p w:rsidR="00B4124A" w:rsidRPr="00B4124A" w:rsidRDefault="00B4124A" w:rsidP="00B4124A">
      <w:pPr>
        <w:widowControl w:val="0"/>
        <w:autoSpaceDE w:val="0"/>
        <w:autoSpaceDN w:val="0"/>
        <w:adjustRightInd w:val="0"/>
        <w:spacing w:after="0" w:line="240" w:lineRule="auto"/>
        <w:jc w:val="center"/>
        <w:rPr>
          <w:rFonts w:ascii="Times New Roman" w:hAnsi="Times New Roman"/>
          <w:b/>
          <w:sz w:val="24"/>
          <w:szCs w:val="24"/>
        </w:rPr>
      </w:pPr>
      <w:r w:rsidRPr="00B4124A">
        <w:rPr>
          <w:rFonts w:ascii="Times New Roman" w:hAnsi="Times New Roman"/>
          <w:b/>
          <w:sz w:val="24"/>
          <w:szCs w:val="24"/>
        </w:rPr>
        <w:t>Global expected growth in wind power capacity</w:t>
      </w:r>
    </w:p>
    <w:p w:rsidR="00A8603A" w:rsidRPr="00B4124A" w:rsidRDefault="00A8603A" w:rsidP="008E7A3A">
      <w:pPr>
        <w:widowControl w:val="0"/>
        <w:autoSpaceDE w:val="0"/>
        <w:autoSpaceDN w:val="0"/>
        <w:adjustRightInd w:val="0"/>
        <w:spacing w:after="0" w:line="240" w:lineRule="auto"/>
        <w:rPr>
          <w:rFonts w:ascii="Times New Roman" w:hAnsi="Times New Roman"/>
          <w:b/>
          <w:bCs/>
          <w:sz w:val="24"/>
          <w:szCs w:val="24"/>
        </w:rPr>
      </w:pPr>
    </w:p>
    <w:p w:rsidR="00A8603A" w:rsidRPr="00B4124A" w:rsidRDefault="00A8603A" w:rsidP="008E7A3A">
      <w:pPr>
        <w:widowControl w:val="0"/>
        <w:autoSpaceDE w:val="0"/>
        <w:autoSpaceDN w:val="0"/>
        <w:adjustRightInd w:val="0"/>
        <w:spacing w:after="0" w:line="240" w:lineRule="auto"/>
        <w:rPr>
          <w:rFonts w:ascii="Times New Roman" w:hAnsi="Times New Roman"/>
          <w:b/>
          <w:bCs/>
          <w:sz w:val="24"/>
          <w:szCs w:val="24"/>
        </w:rPr>
      </w:pPr>
    </w:p>
    <w:p w:rsidR="00A8603A" w:rsidRPr="00B4124A" w:rsidRDefault="00B4124A" w:rsidP="008E7A3A">
      <w:pPr>
        <w:widowControl w:val="0"/>
        <w:autoSpaceDE w:val="0"/>
        <w:autoSpaceDN w:val="0"/>
        <w:adjustRightInd w:val="0"/>
        <w:spacing w:after="0" w:line="240" w:lineRule="auto"/>
        <w:rPr>
          <w:rFonts w:ascii="Times New Roman" w:hAnsi="Times New Roman"/>
          <w:b/>
          <w:bCs/>
          <w:sz w:val="24"/>
          <w:szCs w:val="24"/>
        </w:rPr>
      </w:pPr>
      <w:r w:rsidRPr="00B4124A">
        <w:rPr>
          <w:rFonts w:ascii="Times New Roman" w:hAnsi="Times New Roman"/>
          <w:noProof/>
          <w:sz w:val="24"/>
          <w:szCs w:val="24"/>
        </w:rPr>
        <w:drawing>
          <wp:inline distT="0" distB="0" distL="0" distR="0" wp14:anchorId="3EA25595" wp14:editId="74BA017A">
            <wp:extent cx="6068292" cy="3384468"/>
            <wp:effectExtent l="0" t="0" r="2794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603A" w:rsidRPr="00B4124A" w:rsidRDefault="00A8603A" w:rsidP="008E7A3A">
      <w:pPr>
        <w:widowControl w:val="0"/>
        <w:autoSpaceDE w:val="0"/>
        <w:autoSpaceDN w:val="0"/>
        <w:adjustRightInd w:val="0"/>
        <w:spacing w:after="0" w:line="240" w:lineRule="auto"/>
        <w:rPr>
          <w:rFonts w:ascii="Times New Roman" w:hAnsi="Times New Roman"/>
          <w:b/>
          <w:bCs/>
          <w:sz w:val="24"/>
          <w:szCs w:val="24"/>
        </w:rPr>
      </w:pPr>
    </w:p>
    <w:p w:rsidR="00A8603A" w:rsidRPr="00B4124A" w:rsidRDefault="00B4124A" w:rsidP="00B4124A">
      <w:pPr>
        <w:widowControl w:val="0"/>
        <w:autoSpaceDE w:val="0"/>
        <w:autoSpaceDN w:val="0"/>
        <w:adjustRightInd w:val="0"/>
        <w:spacing w:after="0" w:line="240" w:lineRule="auto"/>
        <w:jc w:val="center"/>
        <w:rPr>
          <w:rFonts w:ascii="Times New Roman" w:hAnsi="Times New Roman"/>
          <w:b/>
          <w:bCs/>
          <w:sz w:val="24"/>
          <w:szCs w:val="24"/>
        </w:rPr>
      </w:pPr>
      <w:r w:rsidRPr="00B4124A">
        <w:rPr>
          <w:rFonts w:ascii="Times New Roman" w:hAnsi="Times New Roman"/>
          <w:b/>
          <w:bCs/>
          <w:sz w:val="24"/>
          <w:szCs w:val="24"/>
        </w:rPr>
        <w:t>Global Cumulative installed Wind Capacity 1997-2014</w:t>
      </w:r>
    </w:p>
    <w:p w:rsidR="00A8603A" w:rsidRPr="00B4124A" w:rsidRDefault="00A8603A" w:rsidP="008E7A3A">
      <w:pPr>
        <w:widowControl w:val="0"/>
        <w:autoSpaceDE w:val="0"/>
        <w:autoSpaceDN w:val="0"/>
        <w:adjustRightInd w:val="0"/>
        <w:spacing w:after="0" w:line="240" w:lineRule="auto"/>
        <w:rPr>
          <w:rFonts w:ascii="Times New Roman" w:hAnsi="Times New Roman"/>
          <w:b/>
          <w:bCs/>
          <w:sz w:val="24"/>
          <w:szCs w:val="24"/>
        </w:rPr>
      </w:pPr>
    </w:p>
    <w:p w:rsidR="008E7A3A" w:rsidRPr="00B4124A" w:rsidRDefault="008E7A3A" w:rsidP="008E7A3A">
      <w:pPr>
        <w:widowControl w:val="0"/>
        <w:autoSpaceDE w:val="0"/>
        <w:autoSpaceDN w:val="0"/>
        <w:adjustRightInd w:val="0"/>
        <w:spacing w:after="0" w:line="240" w:lineRule="auto"/>
        <w:rPr>
          <w:rFonts w:ascii="Times New Roman" w:hAnsi="Times New Roman"/>
          <w:sz w:val="24"/>
          <w:szCs w:val="24"/>
        </w:rPr>
      </w:pPr>
      <w:r w:rsidRPr="00B4124A">
        <w:rPr>
          <w:rFonts w:ascii="Times New Roman" w:hAnsi="Times New Roman"/>
          <w:b/>
          <w:bCs/>
          <w:sz w:val="24"/>
          <w:szCs w:val="24"/>
        </w:rPr>
        <w:t>Why Germany?</w:t>
      </w:r>
    </w:p>
    <w:p w:rsidR="008E7A3A" w:rsidRPr="00B4124A" w:rsidRDefault="008E7A3A" w:rsidP="008E7A3A">
      <w:pPr>
        <w:widowControl w:val="0"/>
        <w:overflowPunct w:val="0"/>
        <w:autoSpaceDE w:val="0"/>
        <w:autoSpaceDN w:val="0"/>
        <w:adjustRightInd w:val="0"/>
        <w:spacing w:after="0" w:line="245" w:lineRule="auto"/>
        <w:jc w:val="both"/>
        <w:rPr>
          <w:rFonts w:ascii="Times New Roman" w:hAnsi="Times New Roman"/>
          <w:sz w:val="24"/>
          <w:szCs w:val="24"/>
        </w:rPr>
      </w:pPr>
      <w:r w:rsidRPr="00B4124A">
        <w:rPr>
          <w:rFonts w:ascii="Times New Roman" w:hAnsi="Times New Roman"/>
          <w:sz w:val="24"/>
          <w:szCs w:val="24"/>
        </w:rPr>
        <w:t xml:space="preserve">Berlin the capital and one of the 16 states of Germany. With a population of 3.5 million people, Berlin is Germany's largest city. It is the second most populous city proper and the seventh most populous urban area in the European Union. Located in north-eastern Germany on the banks of River Spree, it is the </w:t>
      </w:r>
      <w:proofErr w:type="spellStart"/>
      <w:r w:rsidRPr="00B4124A">
        <w:rPr>
          <w:rFonts w:ascii="Times New Roman" w:hAnsi="Times New Roman"/>
          <w:sz w:val="24"/>
          <w:szCs w:val="24"/>
        </w:rPr>
        <w:t>center</w:t>
      </w:r>
      <w:proofErr w:type="spellEnd"/>
      <w:r w:rsidRPr="00B4124A">
        <w:rPr>
          <w:rFonts w:ascii="Times New Roman" w:hAnsi="Times New Roman"/>
          <w:sz w:val="24"/>
          <w:szCs w:val="24"/>
        </w:rPr>
        <w:t xml:space="preserve"> of the Berlin-Brandenburg Metropolitan Region, which has about 6 million residents from over 180 nations. Due to its location in the European Plain, Berlin is influenced by a temperate seasonal climate. Around one third of the city's area is composed of forests, parks, gardens, rivers and lakes.</w:t>
      </w:r>
    </w:p>
    <w:p w:rsidR="008E7A3A" w:rsidRPr="00B4124A" w:rsidRDefault="008E7A3A" w:rsidP="008E7A3A">
      <w:pPr>
        <w:widowControl w:val="0"/>
        <w:overflowPunct w:val="0"/>
        <w:autoSpaceDE w:val="0"/>
        <w:autoSpaceDN w:val="0"/>
        <w:adjustRightInd w:val="0"/>
        <w:spacing w:after="0" w:line="245" w:lineRule="auto"/>
        <w:jc w:val="both"/>
        <w:rPr>
          <w:rFonts w:ascii="Times New Roman" w:hAnsi="Times New Roman"/>
          <w:sz w:val="24"/>
          <w:szCs w:val="24"/>
        </w:rPr>
      </w:pPr>
      <w:r w:rsidRPr="00B4124A">
        <w:rPr>
          <w:rFonts w:ascii="Times New Roman" w:hAnsi="Times New Roman"/>
          <w:sz w:val="24"/>
          <w:szCs w:val="24"/>
        </w:rPr>
        <w:t xml:space="preserve">Germany's renewable energy sector is among the most innovative and successful worldwide. Net-generation from renewable energy sources in the German electricity sector has increased from 6.3% in 2000 to about 30% in 2014. For the first time ever, wind, biogas, and solar combined accounted for a larger portion of net electricity production than brown coal. While peak-generation from combined wind and solar reached a new all-time high of 74% in April 2014, wind power saw its best day ever on December 12, 2014, generating 562 </w:t>
      </w:r>
      <w:proofErr w:type="spellStart"/>
      <w:r w:rsidRPr="00B4124A">
        <w:rPr>
          <w:rFonts w:ascii="Times New Roman" w:hAnsi="Times New Roman"/>
          <w:sz w:val="24"/>
          <w:szCs w:val="24"/>
        </w:rPr>
        <w:t>GWh</w:t>
      </w:r>
      <w:proofErr w:type="spellEnd"/>
      <w:r w:rsidRPr="00B4124A">
        <w:rPr>
          <w:rFonts w:ascii="Times New Roman" w:hAnsi="Times New Roman"/>
          <w:sz w:val="24"/>
          <w:szCs w:val="24"/>
        </w:rPr>
        <w:t>. Germany has been called "the world's first major renewable energy economy".</w:t>
      </w:r>
    </w:p>
    <w:p w:rsidR="008E7A3A" w:rsidRPr="00B4124A" w:rsidRDefault="008E7A3A" w:rsidP="008E7A3A">
      <w:pPr>
        <w:widowControl w:val="0"/>
        <w:autoSpaceDE w:val="0"/>
        <w:autoSpaceDN w:val="0"/>
        <w:adjustRightInd w:val="0"/>
        <w:spacing w:after="0" w:line="240" w:lineRule="auto"/>
        <w:rPr>
          <w:rFonts w:ascii="Times New Roman" w:hAnsi="Times New Roman"/>
          <w:b/>
          <w:bCs/>
          <w:sz w:val="24"/>
          <w:szCs w:val="24"/>
        </w:rPr>
      </w:pPr>
      <w:bookmarkStart w:id="3" w:name="page4"/>
      <w:bookmarkEnd w:id="3"/>
    </w:p>
    <w:p w:rsidR="008E7A3A" w:rsidRPr="00B4124A" w:rsidRDefault="00AE25F1" w:rsidP="008E7A3A">
      <w:pPr>
        <w:widowControl w:val="0"/>
        <w:autoSpaceDE w:val="0"/>
        <w:autoSpaceDN w:val="0"/>
        <w:adjustRightInd w:val="0"/>
        <w:spacing w:after="0" w:line="240" w:lineRule="auto"/>
        <w:rPr>
          <w:rFonts w:ascii="Times New Roman" w:hAnsi="Times New Roman"/>
          <w:sz w:val="24"/>
          <w:szCs w:val="24"/>
        </w:rPr>
      </w:pPr>
      <w:r w:rsidRPr="00B4124A">
        <w:rPr>
          <w:rFonts w:ascii="Times New Roman" w:hAnsi="Times New Roman"/>
          <w:b/>
          <w:bCs/>
          <w:sz w:val="24"/>
          <w:szCs w:val="24"/>
        </w:rPr>
        <w:t>Why to attend?</w:t>
      </w:r>
    </w:p>
    <w:p w:rsidR="008E7A3A" w:rsidRPr="00B4124A" w:rsidRDefault="008E7A3A" w:rsidP="008E7A3A">
      <w:pPr>
        <w:widowControl w:val="0"/>
        <w:overflowPunct w:val="0"/>
        <w:autoSpaceDE w:val="0"/>
        <w:autoSpaceDN w:val="0"/>
        <w:adjustRightInd w:val="0"/>
        <w:spacing w:after="0" w:line="243" w:lineRule="auto"/>
        <w:rPr>
          <w:rFonts w:ascii="Times New Roman" w:hAnsi="Times New Roman"/>
          <w:sz w:val="24"/>
          <w:szCs w:val="24"/>
        </w:rPr>
      </w:pPr>
      <w:r w:rsidRPr="00B4124A">
        <w:rPr>
          <w:rFonts w:ascii="Times New Roman" w:hAnsi="Times New Roman"/>
          <w:sz w:val="24"/>
          <w:szCs w:val="24"/>
        </w:rPr>
        <w:t xml:space="preserve">With members from around the world focused on the field of Wind Energy; this is your single best opportunity to reach the largest assemblage of participants from the global energy sector Conduct demonstrations, distribute information, meet with current and potential turbines traders, make a splash with a new product line, and receive name recognition at this 3-days event. World-renowned speakers, the most recent techniques, tactics, and the newest updates in Wind energy fields are hallmarks of this conference. Conference brings together experts, researchers, scholars and students from all areas of Electrical Engineering, Electronics, Control Engineering, Mechanics and other related areas, Wind energy associations, Turbine traders, generating and planning professionals, </w:t>
      </w:r>
      <w:r w:rsidRPr="00B4124A">
        <w:rPr>
          <w:rFonts w:ascii="Times New Roman" w:hAnsi="Times New Roman"/>
          <w:sz w:val="24"/>
          <w:szCs w:val="24"/>
        </w:rPr>
        <w:lastRenderedPageBreak/>
        <w:t>Developers, Contractors, planning and Design, Consultancy, Turbines and controllers manufacturers.</w:t>
      </w:r>
    </w:p>
    <w:p w:rsidR="008E7A3A" w:rsidRPr="00B4124A" w:rsidRDefault="008E7A3A" w:rsidP="008E7A3A">
      <w:pPr>
        <w:widowControl w:val="0"/>
        <w:overflowPunct w:val="0"/>
        <w:autoSpaceDE w:val="0"/>
        <w:autoSpaceDN w:val="0"/>
        <w:adjustRightInd w:val="0"/>
        <w:spacing w:after="0" w:line="277" w:lineRule="auto"/>
        <w:ind w:right="300"/>
        <w:rPr>
          <w:rFonts w:ascii="Times New Roman" w:hAnsi="Times New Roman"/>
          <w:sz w:val="24"/>
          <w:szCs w:val="24"/>
        </w:rPr>
      </w:pPr>
      <w:r w:rsidRPr="00B4124A">
        <w:rPr>
          <w:rFonts w:ascii="Times New Roman" w:hAnsi="Times New Roman"/>
          <w:b/>
          <w:bCs/>
          <w:sz w:val="24"/>
          <w:szCs w:val="24"/>
        </w:rPr>
        <w:t>Major Societies and Associations around the Globe</w:t>
      </w:r>
    </w:p>
    <w:p w:rsidR="008E7A3A" w:rsidRPr="00B4124A" w:rsidRDefault="008E7A3A" w:rsidP="008E7A3A">
      <w:pPr>
        <w:widowControl w:val="0"/>
        <w:overflowPunct w:val="0"/>
        <w:autoSpaceDE w:val="0"/>
        <w:autoSpaceDN w:val="0"/>
        <w:adjustRightInd w:val="0"/>
        <w:spacing w:after="0" w:line="240" w:lineRule="auto"/>
        <w:ind w:left="-284" w:firstLine="284"/>
        <w:jc w:val="both"/>
        <w:rPr>
          <w:rFonts w:ascii="Times New Roman" w:hAnsi="Times New Roman"/>
          <w:sz w:val="24"/>
          <w:szCs w:val="24"/>
        </w:rPr>
      </w:pPr>
      <w:r w:rsidRPr="00B4124A">
        <w:rPr>
          <w:rFonts w:ascii="Times New Roman" w:hAnsi="Times New Roman"/>
          <w:sz w:val="24"/>
          <w:szCs w:val="24"/>
        </w:rPr>
        <w:t xml:space="preserve">Wind energy - American Wind Energy Association </w:t>
      </w:r>
    </w:p>
    <w:p w:rsidR="008E7A3A" w:rsidRPr="00B4124A" w:rsidRDefault="008E7A3A" w:rsidP="008E7A3A">
      <w:pPr>
        <w:widowControl w:val="0"/>
        <w:autoSpaceDE w:val="0"/>
        <w:autoSpaceDN w:val="0"/>
        <w:adjustRightInd w:val="0"/>
        <w:spacing w:after="0" w:line="58" w:lineRule="exact"/>
        <w:ind w:left="-284" w:firstLine="284"/>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240" w:lineRule="auto"/>
        <w:ind w:left="-284" w:firstLine="284"/>
        <w:jc w:val="both"/>
        <w:rPr>
          <w:rFonts w:ascii="Times New Roman" w:hAnsi="Times New Roman"/>
          <w:sz w:val="24"/>
          <w:szCs w:val="24"/>
        </w:rPr>
      </w:pPr>
      <w:r w:rsidRPr="00B4124A">
        <w:rPr>
          <w:rFonts w:ascii="Times New Roman" w:hAnsi="Times New Roman"/>
          <w:sz w:val="24"/>
          <w:szCs w:val="24"/>
        </w:rPr>
        <w:t xml:space="preserve">Wind energy - Citizen Partnerships for Offshore Wind (CPOW) </w:t>
      </w:r>
    </w:p>
    <w:p w:rsidR="008E7A3A" w:rsidRPr="00B4124A" w:rsidRDefault="008E7A3A" w:rsidP="008E7A3A">
      <w:pPr>
        <w:widowControl w:val="0"/>
        <w:overflowPunct w:val="0"/>
        <w:autoSpaceDE w:val="0"/>
        <w:autoSpaceDN w:val="0"/>
        <w:adjustRightInd w:val="0"/>
        <w:spacing w:after="0" w:line="240" w:lineRule="auto"/>
        <w:ind w:left="-284" w:firstLine="284"/>
        <w:jc w:val="both"/>
        <w:rPr>
          <w:rFonts w:ascii="Times New Roman" w:hAnsi="Times New Roman"/>
          <w:sz w:val="24"/>
          <w:szCs w:val="24"/>
        </w:rPr>
      </w:pPr>
      <w:r w:rsidRPr="00B4124A">
        <w:rPr>
          <w:rFonts w:ascii="Times New Roman" w:hAnsi="Times New Roman"/>
          <w:sz w:val="24"/>
          <w:szCs w:val="24"/>
        </w:rPr>
        <w:t>Wind energy - European Wind Energy Association</w:t>
      </w:r>
    </w:p>
    <w:p w:rsidR="008E7A3A" w:rsidRPr="00B4124A" w:rsidRDefault="008E7A3A" w:rsidP="008E7A3A">
      <w:pPr>
        <w:widowControl w:val="0"/>
        <w:autoSpaceDE w:val="0"/>
        <w:autoSpaceDN w:val="0"/>
        <w:adjustRightInd w:val="0"/>
        <w:spacing w:after="0" w:line="240" w:lineRule="auto"/>
        <w:ind w:left="-284" w:firstLine="284"/>
        <w:rPr>
          <w:rFonts w:ascii="Times New Roman" w:hAnsi="Times New Roman"/>
          <w:sz w:val="24"/>
          <w:szCs w:val="24"/>
        </w:rPr>
      </w:pPr>
      <w:r w:rsidRPr="00B4124A">
        <w:rPr>
          <w:rFonts w:ascii="Times New Roman" w:hAnsi="Times New Roman"/>
          <w:sz w:val="24"/>
          <w:szCs w:val="24"/>
        </w:rPr>
        <w:t>Wind energy - Global Wind Energy Council</w:t>
      </w:r>
    </w:p>
    <w:p w:rsidR="008E7A3A" w:rsidRPr="00B4124A" w:rsidRDefault="008E7A3A" w:rsidP="008E7A3A">
      <w:pPr>
        <w:widowControl w:val="0"/>
        <w:overflowPunct w:val="0"/>
        <w:autoSpaceDE w:val="0"/>
        <w:autoSpaceDN w:val="0"/>
        <w:adjustRightInd w:val="0"/>
        <w:spacing w:after="0" w:line="240" w:lineRule="auto"/>
        <w:ind w:left="-284" w:firstLine="284"/>
        <w:jc w:val="both"/>
        <w:rPr>
          <w:rFonts w:ascii="Times New Roman" w:hAnsi="Times New Roman"/>
          <w:sz w:val="24"/>
          <w:szCs w:val="24"/>
        </w:rPr>
      </w:pPr>
      <w:r w:rsidRPr="00B4124A">
        <w:rPr>
          <w:rFonts w:ascii="Times New Roman" w:hAnsi="Times New Roman"/>
          <w:sz w:val="24"/>
          <w:szCs w:val="24"/>
        </w:rPr>
        <w:t xml:space="preserve">Wind energy - World Wind Energy Association </w:t>
      </w:r>
    </w:p>
    <w:p w:rsidR="008E7A3A" w:rsidRPr="00B4124A" w:rsidRDefault="008E7A3A" w:rsidP="008E7A3A">
      <w:pPr>
        <w:widowControl w:val="0"/>
        <w:autoSpaceDE w:val="0"/>
        <w:autoSpaceDN w:val="0"/>
        <w:adjustRightInd w:val="0"/>
        <w:spacing w:after="0" w:line="240" w:lineRule="auto"/>
        <w:ind w:left="-284" w:firstLine="568"/>
        <w:rPr>
          <w:rFonts w:ascii="Times New Roman" w:hAnsi="Times New Roman"/>
          <w:sz w:val="24"/>
          <w:szCs w:val="24"/>
        </w:rPr>
      </w:pPr>
    </w:p>
    <w:p w:rsidR="008E7A3A" w:rsidRPr="00B4124A" w:rsidRDefault="008E7A3A" w:rsidP="008E7A3A">
      <w:pPr>
        <w:widowControl w:val="0"/>
        <w:autoSpaceDE w:val="0"/>
        <w:autoSpaceDN w:val="0"/>
        <w:adjustRightInd w:val="0"/>
        <w:spacing w:after="0" w:line="240" w:lineRule="auto"/>
        <w:rPr>
          <w:rFonts w:ascii="Times New Roman" w:hAnsi="Times New Roman"/>
          <w:sz w:val="24"/>
          <w:szCs w:val="24"/>
        </w:rPr>
      </w:pPr>
      <w:r w:rsidRPr="00B4124A">
        <w:rPr>
          <w:rFonts w:ascii="Times New Roman" w:hAnsi="Times New Roman"/>
          <w:b/>
          <w:bCs/>
          <w:sz w:val="24"/>
          <w:szCs w:val="24"/>
        </w:rPr>
        <w:t>Major Societies and Associations in Germany</w:t>
      </w:r>
    </w:p>
    <w:p w:rsidR="008E7A3A" w:rsidRPr="00B4124A" w:rsidRDefault="008E7A3A" w:rsidP="008E7A3A">
      <w:pPr>
        <w:spacing w:after="0" w:line="240" w:lineRule="auto"/>
        <w:rPr>
          <w:rStyle w:val="Strong"/>
          <w:rFonts w:ascii="Times New Roman" w:hAnsi="Times New Roman"/>
          <w:b w:val="0"/>
          <w:color w:val="000000"/>
          <w:sz w:val="24"/>
          <w:szCs w:val="24"/>
          <w:bdr w:val="none" w:sz="0" w:space="0" w:color="auto" w:frame="1"/>
        </w:rPr>
      </w:pPr>
      <w:r w:rsidRPr="00B4124A">
        <w:rPr>
          <w:rStyle w:val="Strong"/>
          <w:rFonts w:ascii="Times New Roman" w:hAnsi="Times New Roman"/>
          <w:b w:val="0"/>
          <w:color w:val="000000"/>
          <w:sz w:val="24"/>
          <w:szCs w:val="24"/>
          <w:bdr w:val="none" w:sz="0" w:space="0" w:color="auto" w:frame="1"/>
        </w:rPr>
        <w:t>German Wind Energy Association.</w:t>
      </w:r>
    </w:p>
    <w:p w:rsidR="008E7A3A" w:rsidRPr="00B4124A" w:rsidRDefault="008E7A3A" w:rsidP="008E7A3A">
      <w:pPr>
        <w:spacing w:after="0" w:line="240" w:lineRule="auto"/>
        <w:rPr>
          <w:rStyle w:val="apple-converted-space"/>
          <w:rFonts w:ascii="Times New Roman" w:hAnsi="Times New Roman"/>
          <w:b/>
          <w:bCs/>
          <w:color w:val="000000"/>
          <w:sz w:val="24"/>
          <w:szCs w:val="24"/>
          <w:bdr w:val="none" w:sz="0" w:space="0" w:color="auto" w:frame="1"/>
        </w:rPr>
      </w:pPr>
      <w:r w:rsidRPr="00B4124A">
        <w:rPr>
          <w:rStyle w:val="Strong"/>
          <w:rFonts w:ascii="Times New Roman" w:hAnsi="Times New Roman"/>
          <w:b w:val="0"/>
          <w:color w:val="000000"/>
          <w:sz w:val="24"/>
          <w:szCs w:val="24"/>
          <w:bdr w:val="none" w:sz="0" w:space="0" w:color="auto" w:frame="1"/>
        </w:rPr>
        <w:t>German Energy Agency</w:t>
      </w:r>
      <w:r w:rsidRPr="00B4124A">
        <w:rPr>
          <w:rStyle w:val="apple-converted-space"/>
          <w:rFonts w:ascii="Times New Roman" w:hAnsi="Times New Roman"/>
          <w:b/>
          <w:bCs/>
          <w:color w:val="000000"/>
          <w:sz w:val="24"/>
          <w:szCs w:val="24"/>
          <w:bdr w:val="none" w:sz="0" w:space="0" w:color="auto" w:frame="1"/>
        </w:rPr>
        <w:t>.</w:t>
      </w:r>
    </w:p>
    <w:p w:rsidR="008E7A3A" w:rsidRPr="00B4124A" w:rsidRDefault="008E7A3A" w:rsidP="008E7A3A">
      <w:pPr>
        <w:spacing w:after="0" w:line="240" w:lineRule="auto"/>
        <w:rPr>
          <w:rStyle w:val="apple-converted-space"/>
          <w:rFonts w:ascii="Times New Roman" w:hAnsi="Times New Roman"/>
          <w:b/>
          <w:bCs/>
          <w:color w:val="000000"/>
          <w:sz w:val="24"/>
          <w:szCs w:val="24"/>
          <w:bdr w:val="none" w:sz="0" w:space="0" w:color="auto" w:frame="1"/>
        </w:rPr>
      </w:pPr>
    </w:p>
    <w:p w:rsidR="008E7A3A" w:rsidRPr="00B4124A" w:rsidRDefault="008E7A3A" w:rsidP="008E7A3A">
      <w:pPr>
        <w:spacing w:after="0"/>
        <w:rPr>
          <w:rFonts w:ascii="Times New Roman" w:hAnsi="Times New Roman"/>
          <w:sz w:val="24"/>
          <w:szCs w:val="24"/>
        </w:rPr>
      </w:pPr>
      <w:r w:rsidRPr="00B4124A">
        <w:rPr>
          <w:rStyle w:val="Strong"/>
          <w:rFonts w:ascii="Times New Roman" w:hAnsi="Times New Roman"/>
          <w:color w:val="000000"/>
          <w:sz w:val="24"/>
          <w:szCs w:val="24"/>
          <w:bdr w:val="none" w:sz="0" w:space="0" w:color="auto" w:frame="1"/>
        </w:rPr>
        <w:t>Wind Energy related Companies in Berlin and Brandenburg:</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Ammonit Measurement GmbH (development and production of precision measurement instruments for the wind industry)</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PCS Power Converter Solutions GmbH (rectifier for wind energy plants)</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Converteam GmbH (electrical systems and wind park construction)</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Reuther GmbH (towers, chemistry and storage tanks)</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Vestas Blades Deutschland GmbH (rotor blades)</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REpower Systems SE (nacelles)</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EUROS Entwicklungsgesellschaft für Windkraftanlagen mbH (Entwicklungsbüro), the EUROS development office</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wpd thin energy GmbH (planning and projection of wind energy projects)</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Enertrag AG (services)</w:t>
      </w:r>
    </w:p>
    <w:p w:rsidR="008E7A3A" w:rsidRPr="00B4124A" w:rsidRDefault="008E7A3A" w:rsidP="008E7A3A">
      <w:pPr>
        <w:numPr>
          <w:ilvl w:val="0"/>
          <w:numId w:val="3"/>
        </w:numPr>
        <w:spacing w:after="0" w:line="336" w:lineRule="atLeast"/>
        <w:ind w:left="288"/>
        <w:textAlignment w:val="baseline"/>
        <w:rPr>
          <w:rFonts w:ascii="Times New Roman" w:eastAsia="Times New Roman" w:hAnsi="Times New Roman"/>
          <w:color w:val="000000"/>
          <w:sz w:val="24"/>
          <w:szCs w:val="24"/>
        </w:rPr>
      </w:pPr>
      <w:r w:rsidRPr="00B4124A">
        <w:rPr>
          <w:rFonts w:ascii="Times New Roman" w:eastAsia="Times New Roman" w:hAnsi="Times New Roman"/>
          <w:color w:val="000000"/>
          <w:sz w:val="24"/>
          <w:szCs w:val="24"/>
        </w:rPr>
        <w:t>Seilpartner Windkraft (services)</w:t>
      </w:r>
    </w:p>
    <w:p w:rsidR="008E7A3A" w:rsidRPr="00B4124A" w:rsidRDefault="008E7A3A" w:rsidP="008E7A3A">
      <w:pPr>
        <w:widowControl w:val="0"/>
        <w:autoSpaceDE w:val="0"/>
        <w:autoSpaceDN w:val="0"/>
        <w:adjustRightInd w:val="0"/>
        <w:spacing w:after="0" w:line="240" w:lineRule="auto"/>
        <w:ind w:hanging="284"/>
        <w:rPr>
          <w:rFonts w:ascii="Times New Roman" w:hAnsi="Times New Roman"/>
          <w:sz w:val="24"/>
          <w:szCs w:val="24"/>
        </w:rPr>
      </w:pPr>
    </w:p>
    <w:p w:rsidR="008E7A3A" w:rsidRPr="00B4124A" w:rsidRDefault="008E7A3A" w:rsidP="008E7A3A">
      <w:pPr>
        <w:widowControl w:val="0"/>
        <w:autoSpaceDE w:val="0"/>
        <w:autoSpaceDN w:val="0"/>
        <w:adjustRightInd w:val="0"/>
        <w:spacing w:after="0" w:line="1" w:lineRule="exact"/>
        <w:rPr>
          <w:rFonts w:ascii="Times New Roman" w:hAnsi="Times New Roman"/>
          <w:sz w:val="24"/>
          <w:szCs w:val="24"/>
        </w:rPr>
      </w:pPr>
      <w:bookmarkStart w:id="4" w:name="page5"/>
      <w:bookmarkEnd w:id="4"/>
    </w:p>
    <w:p w:rsidR="008E7A3A" w:rsidRPr="00B4124A" w:rsidRDefault="008E7A3A" w:rsidP="008E7A3A">
      <w:pPr>
        <w:widowControl w:val="0"/>
        <w:autoSpaceDE w:val="0"/>
        <w:autoSpaceDN w:val="0"/>
        <w:adjustRightInd w:val="0"/>
        <w:spacing w:after="0" w:line="240" w:lineRule="auto"/>
        <w:ind w:hanging="284"/>
        <w:rPr>
          <w:rFonts w:ascii="Times New Roman" w:hAnsi="Times New Roman"/>
          <w:b/>
          <w:bCs/>
          <w:sz w:val="24"/>
          <w:szCs w:val="24"/>
        </w:rPr>
      </w:pPr>
      <w:r w:rsidRPr="00B4124A">
        <w:rPr>
          <w:rFonts w:ascii="Times New Roman" w:hAnsi="Times New Roman"/>
          <w:b/>
          <w:bCs/>
          <w:sz w:val="24"/>
          <w:szCs w:val="24"/>
        </w:rPr>
        <w:t>Top Universities in Germany:</w:t>
      </w:r>
    </w:p>
    <w:p w:rsidR="008E7A3A" w:rsidRPr="00474FC2" w:rsidRDefault="008E7A3A" w:rsidP="008E7A3A">
      <w:pPr>
        <w:widowControl w:val="0"/>
        <w:autoSpaceDE w:val="0"/>
        <w:autoSpaceDN w:val="0"/>
        <w:adjustRightInd w:val="0"/>
        <w:spacing w:after="0" w:line="240" w:lineRule="auto"/>
        <w:ind w:hanging="284"/>
        <w:rPr>
          <w:rFonts w:ascii="Times New Roman" w:hAnsi="Times New Roman"/>
          <w:sz w:val="14"/>
          <w:szCs w:val="24"/>
        </w:rPr>
      </w:pPr>
    </w:p>
    <w:p w:rsidR="008E7A3A" w:rsidRPr="00B4124A" w:rsidRDefault="008E7A3A" w:rsidP="008E7A3A">
      <w:pPr>
        <w:widowControl w:val="0"/>
        <w:overflowPunct w:val="0"/>
        <w:autoSpaceDE w:val="0"/>
        <w:autoSpaceDN w:val="0"/>
        <w:adjustRightInd w:val="0"/>
        <w:spacing w:after="0" w:line="250" w:lineRule="auto"/>
        <w:ind w:right="1400"/>
        <w:jc w:val="both"/>
        <w:rPr>
          <w:rFonts w:ascii="Times New Roman" w:hAnsi="Times New Roman"/>
          <w:sz w:val="24"/>
          <w:szCs w:val="24"/>
        </w:rPr>
      </w:pPr>
      <w:r w:rsidRPr="00B4124A">
        <w:rPr>
          <w:rFonts w:ascii="Times New Roman" w:hAnsi="Times New Roman"/>
          <w:sz w:val="24"/>
          <w:szCs w:val="24"/>
        </w:rPr>
        <w:t xml:space="preserve">Technische Universität München (TUM) (Technical University of Munich) Ludwig Maximilians Universität, Mänchen (University of Munich) </w:t>
      </w:r>
    </w:p>
    <w:p w:rsidR="008E7A3A" w:rsidRPr="00B4124A" w:rsidRDefault="008E7A3A" w:rsidP="008E7A3A">
      <w:pPr>
        <w:widowControl w:val="0"/>
        <w:autoSpaceDE w:val="0"/>
        <w:autoSpaceDN w:val="0"/>
        <w:adjustRightInd w:val="0"/>
        <w:spacing w:after="0" w:line="1" w:lineRule="exact"/>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240" w:lineRule="auto"/>
        <w:ind w:right="1422"/>
        <w:jc w:val="both"/>
        <w:rPr>
          <w:rFonts w:ascii="Times New Roman" w:hAnsi="Times New Roman"/>
          <w:sz w:val="24"/>
          <w:szCs w:val="24"/>
        </w:rPr>
      </w:pPr>
      <w:r w:rsidRPr="00B4124A">
        <w:rPr>
          <w:rFonts w:ascii="Times New Roman" w:hAnsi="Times New Roman"/>
          <w:sz w:val="24"/>
          <w:szCs w:val="24"/>
        </w:rPr>
        <w:t xml:space="preserve">Universität Heidelberg Freie Universität Berlin University of Göttingen </w:t>
      </w:r>
    </w:p>
    <w:p w:rsidR="008E7A3A" w:rsidRPr="00B4124A" w:rsidRDefault="008E7A3A" w:rsidP="008E7A3A">
      <w:pPr>
        <w:widowControl w:val="0"/>
        <w:overflowPunct w:val="0"/>
        <w:autoSpaceDE w:val="0"/>
        <w:autoSpaceDN w:val="0"/>
        <w:adjustRightInd w:val="0"/>
        <w:spacing w:after="0" w:line="240" w:lineRule="auto"/>
        <w:ind w:right="1422"/>
        <w:jc w:val="both"/>
        <w:rPr>
          <w:rFonts w:ascii="Times New Roman" w:hAnsi="Times New Roman"/>
          <w:sz w:val="24"/>
          <w:szCs w:val="24"/>
        </w:rPr>
      </w:pPr>
      <w:r w:rsidRPr="00B4124A">
        <w:rPr>
          <w:rFonts w:ascii="Times New Roman" w:hAnsi="Times New Roman"/>
          <w:sz w:val="24"/>
          <w:szCs w:val="24"/>
        </w:rPr>
        <w:t xml:space="preserve">Aachen University of Technology Berufsakademie Ravensburg </w:t>
      </w:r>
    </w:p>
    <w:p w:rsidR="008E7A3A" w:rsidRPr="00B4124A" w:rsidRDefault="008E7A3A" w:rsidP="008E7A3A">
      <w:pPr>
        <w:widowControl w:val="0"/>
        <w:overflowPunct w:val="0"/>
        <w:autoSpaceDE w:val="0"/>
        <w:autoSpaceDN w:val="0"/>
        <w:adjustRightInd w:val="0"/>
        <w:spacing w:after="0" w:line="240" w:lineRule="auto"/>
        <w:ind w:right="5600"/>
        <w:jc w:val="both"/>
        <w:rPr>
          <w:rFonts w:ascii="Times New Roman" w:hAnsi="Times New Roman"/>
          <w:sz w:val="24"/>
          <w:szCs w:val="24"/>
        </w:rPr>
      </w:pPr>
      <w:r w:rsidRPr="00B4124A">
        <w:rPr>
          <w:rFonts w:ascii="Times New Roman" w:hAnsi="Times New Roman"/>
          <w:sz w:val="24"/>
          <w:szCs w:val="24"/>
        </w:rPr>
        <w:t xml:space="preserve">Christian-Albrechts-Universität Dortmund University </w:t>
      </w:r>
    </w:p>
    <w:p w:rsidR="008E7A3A" w:rsidRPr="00B4124A" w:rsidRDefault="008E7A3A" w:rsidP="008E7A3A">
      <w:pPr>
        <w:widowControl w:val="0"/>
        <w:overflowPunct w:val="0"/>
        <w:autoSpaceDE w:val="0"/>
        <w:autoSpaceDN w:val="0"/>
        <w:adjustRightInd w:val="0"/>
        <w:spacing w:after="0" w:line="240" w:lineRule="auto"/>
        <w:ind w:hanging="284"/>
        <w:jc w:val="both"/>
        <w:rPr>
          <w:rFonts w:ascii="Times New Roman" w:hAnsi="Times New Roman"/>
          <w:sz w:val="24"/>
          <w:szCs w:val="24"/>
        </w:rPr>
      </w:pPr>
      <w:r w:rsidRPr="00B4124A">
        <w:rPr>
          <w:rFonts w:ascii="Times New Roman" w:hAnsi="Times New Roman"/>
          <w:sz w:val="24"/>
          <w:szCs w:val="24"/>
        </w:rPr>
        <w:t xml:space="preserve">     Dresden Technical University </w:t>
      </w:r>
    </w:p>
    <w:p w:rsidR="008E7A3A" w:rsidRPr="00B4124A" w:rsidRDefault="008E7A3A" w:rsidP="008E7A3A">
      <w:pPr>
        <w:widowControl w:val="0"/>
        <w:autoSpaceDE w:val="0"/>
        <w:autoSpaceDN w:val="0"/>
        <w:adjustRightInd w:val="0"/>
        <w:spacing w:after="0" w:line="1" w:lineRule="exact"/>
        <w:rPr>
          <w:rFonts w:ascii="Times New Roman" w:hAnsi="Times New Roman"/>
          <w:sz w:val="24"/>
          <w:szCs w:val="24"/>
        </w:rPr>
      </w:pPr>
    </w:p>
    <w:p w:rsidR="008E7A3A" w:rsidRDefault="008E7A3A" w:rsidP="008E7A3A">
      <w:pPr>
        <w:widowControl w:val="0"/>
        <w:overflowPunct w:val="0"/>
        <w:autoSpaceDE w:val="0"/>
        <w:autoSpaceDN w:val="0"/>
        <w:adjustRightInd w:val="0"/>
        <w:spacing w:after="0" w:line="240" w:lineRule="auto"/>
        <w:ind w:hanging="284"/>
        <w:jc w:val="both"/>
        <w:rPr>
          <w:rFonts w:ascii="Times New Roman" w:hAnsi="Times New Roman"/>
          <w:sz w:val="24"/>
          <w:szCs w:val="24"/>
        </w:rPr>
      </w:pPr>
      <w:r w:rsidRPr="00B4124A">
        <w:rPr>
          <w:rFonts w:ascii="Times New Roman" w:hAnsi="Times New Roman"/>
          <w:sz w:val="24"/>
          <w:szCs w:val="24"/>
        </w:rPr>
        <w:t xml:space="preserve">     Ernst-Moritz-Arndt-University Greifswald </w:t>
      </w:r>
    </w:p>
    <w:p w:rsidR="00474FC2" w:rsidRPr="00474FC2" w:rsidRDefault="00474FC2" w:rsidP="008E7A3A">
      <w:pPr>
        <w:widowControl w:val="0"/>
        <w:overflowPunct w:val="0"/>
        <w:autoSpaceDE w:val="0"/>
        <w:autoSpaceDN w:val="0"/>
        <w:adjustRightInd w:val="0"/>
        <w:spacing w:after="0" w:line="240" w:lineRule="auto"/>
        <w:ind w:hanging="284"/>
        <w:jc w:val="both"/>
        <w:rPr>
          <w:rFonts w:ascii="Times New Roman" w:hAnsi="Times New Roman"/>
          <w:sz w:val="16"/>
          <w:szCs w:val="24"/>
        </w:rPr>
      </w:pPr>
      <w:bookmarkStart w:id="5" w:name="_GoBack"/>
      <w:bookmarkEnd w:id="5"/>
    </w:p>
    <w:p w:rsidR="008E7A3A" w:rsidRPr="00B4124A" w:rsidRDefault="008E7A3A" w:rsidP="00B4124A">
      <w:pPr>
        <w:widowControl w:val="0"/>
        <w:autoSpaceDE w:val="0"/>
        <w:autoSpaceDN w:val="0"/>
        <w:adjustRightInd w:val="0"/>
        <w:spacing w:after="0" w:line="240" w:lineRule="auto"/>
        <w:ind w:hanging="142"/>
        <w:rPr>
          <w:rFonts w:ascii="Times New Roman" w:hAnsi="Times New Roman"/>
          <w:sz w:val="24"/>
          <w:szCs w:val="24"/>
        </w:rPr>
      </w:pPr>
      <w:r w:rsidRPr="00B4124A">
        <w:rPr>
          <w:rFonts w:ascii="Times New Roman" w:hAnsi="Times New Roman"/>
          <w:b/>
          <w:bCs/>
          <w:sz w:val="24"/>
          <w:szCs w:val="24"/>
        </w:rPr>
        <w:t>Top Companies Worldwide</w:t>
      </w:r>
      <w:r w:rsidR="00B4124A" w:rsidRPr="00B4124A">
        <w:rPr>
          <w:rFonts w:ascii="Times New Roman" w:hAnsi="Times New Roman"/>
          <w:b/>
          <w:bCs/>
          <w:sz w:val="24"/>
          <w:szCs w:val="24"/>
        </w:rPr>
        <w:t>:</w:t>
      </w:r>
    </w:p>
    <w:p w:rsidR="008E7A3A" w:rsidRPr="00B4124A" w:rsidRDefault="008E7A3A"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color w:val="333333"/>
          <w:sz w:val="24"/>
          <w:szCs w:val="24"/>
          <w:shd w:val="clear" w:color="auto" w:fill="FFFFFF"/>
        </w:rPr>
        <w:t>Vestas (Denmark)</w:t>
      </w:r>
      <w:r w:rsidR="00AE25F1" w:rsidRPr="00B4124A">
        <w:rPr>
          <w:rFonts w:ascii="Times New Roman" w:hAnsi="Times New Roman"/>
          <w:color w:val="333333"/>
          <w:sz w:val="24"/>
          <w:szCs w:val="24"/>
          <w:shd w:val="clear" w:color="auto" w:fill="FFFFFF"/>
        </w:rPr>
        <w:t xml:space="preserve"> -</w:t>
      </w:r>
      <w:r w:rsidRPr="00B4124A">
        <w:rPr>
          <w:rFonts w:ascii="Times New Roman" w:hAnsi="Times New Roman"/>
          <w:color w:val="333333"/>
          <w:sz w:val="24"/>
          <w:szCs w:val="24"/>
          <w:shd w:val="clear" w:color="auto" w:fill="FFFFFF"/>
        </w:rPr>
        <w:t>13.2%</w:t>
      </w:r>
      <w:r w:rsidRPr="00B4124A">
        <w:rPr>
          <w:rFonts w:ascii="Times New Roman" w:hAnsi="Times New Roman"/>
          <w:sz w:val="24"/>
          <w:szCs w:val="24"/>
        </w:rPr>
        <w:t xml:space="preserve"> </w:t>
      </w:r>
    </w:p>
    <w:p w:rsidR="008E7A3A" w:rsidRPr="00B4124A" w:rsidRDefault="008E7A3A"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color w:val="333333"/>
          <w:sz w:val="24"/>
          <w:szCs w:val="24"/>
          <w:shd w:val="clear" w:color="auto" w:fill="FFFFFF"/>
        </w:rPr>
        <w:t>Goldwind (China)</w:t>
      </w:r>
      <w:r w:rsidR="00AE25F1" w:rsidRPr="00B4124A">
        <w:rPr>
          <w:rFonts w:ascii="Times New Roman" w:hAnsi="Times New Roman"/>
          <w:color w:val="333333"/>
          <w:sz w:val="24"/>
          <w:szCs w:val="24"/>
          <w:shd w:val="clear" w:color="auto" w:fill="FFFFFF"/>
        </w:rPr>
        <w:t xml:space="preserve"> </w:t>
      </w:r>
      <w:r w:rsidRPr="00B4124A">
        <w:rPr>
          <w:rFonts w:ascii="Times New Roman" w:hAnsi="Times New Roman"/>
          <w:color w:val="333333"/>
          <w:sz w:val="24"/>
          <w:szCs w:val="24"/>
          <w:shd w:val="clear" w:color="auto" w:fill="FFFFFF"/>
        </w:rPr>
        <w:t>-10.3%</w:t>
      </w:r>
    </w:p>
    <w:p w:rsidR="00AE25F1" w:rsidRPr="00B4124A" w:rsidRDefault="00AE25F1"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color w:val="333333"/>
          <w:sz w:val="24"/>
          <w:szCs w:val="24"/>
          <w:shd w:val="clear" w:color="auto" w:fill="FFFFFF"/>
        </w:rPr>
        <w:t>Enercon (Germany) -10.1%</w:t>
      </w:r>
    </w:p>
    <w:p w:rsidR="00AE25F1" w:rsidRPr="00B4124A" w:rsidRDefault="00AE25F1"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color w:val="333333"/>
          <w:sz w:val="24"/>
          <w:szCs w:val="24"/>
          <w:shd w:val="clear" w:color="auto" w:fill="FFFFFF"/>
        </w:rPr>
        <w:t>Siemens(Germany) - 8.0%</w:t>
      </w:r>
    </w:p>
    <w:p w:rsidR="00AE25F1" w:rsidRPr="00B4124A" w:rsidRDefault="00AE25F1"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color w:val="333333"/>
          <w:sz w:val="24"/>
          <w:szCs w:val="24"/>
          <w:shd w:val="clear" w:color="auto" w:fill="FFFFFF"/>
        </w:rPr>
        <w:t>Sulzon Group(India) - 6.3%</w:t>
      </w:r>
    </w:p>
    <w:p w:rsidR="00AE25F1" w:rsidRPr="00B4124A" w:rsidRDefault="00AE25F1"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color w:val="333333"/>
          <w:sz w:val="24"/>
          <w:szCs w:val="24"/>
          <w:shd w:val="clear" w:color="auto" w:fill="FFFFFF"/>
        </w:rPr>
        <w:t>GE(U.S)- 4.9%</w:t>
      </w:r>
    </w:p>
    <w:p w:rsidR="00AE25F1" w:rsidRPr="00B4124A" w:rsidRDefault="00AE25F1"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color w:val="333333"/>
          <w:sz w:val="24"/>
          <w:szCs w:val="24"/>
          <w:shd w:val="clear" w:color="auto" w:fill="FFFFFF"/>
        </w:rPr>
        <w:t>Gamesa (Spain) - 4.6%</w:t>
      </w:r>
    </w:p>
    <w:p w:rsidR="00AE25F1" w:rsidRPr="00B4124A" w:rsidRDefault="00AE25F1"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color w:val="333333"/>
          <w:sz w:val="24"/>
          <w:szCs w:val="24"/>
          <w:shd w:val="clear" w:color="auto" w:fill="FFFFFF"/>
        </w:rPr>
        <w:t>Ming Yang(China) - 3.7%</w:t>
      </w:r>
    </w:p>
    <w:p w:rsidR="00AE25F1" w:rsidRPr="00B4124A" w:rsidRDefault="00AE25F1" w:rsidP="008E7A3A">
      <w:pPr>
        <w:widowControl w:val="0"/>
        <w:numPr>
          <w:ilvl w:val="0"/>
          <w:numId w:val="1"/>
        </w:numPr>
        <w:overflowPunct w:val="0"/>
        <w:autoSpaceDE w:val="0"/>
        <w:autoSpaceDN w:val="0"/>
        <w:adjustRightInd w:val="0"/>
        <w:spacing w:after="0" w:line="240" w:lineRule="auto"/>
        <w:jc w:val="both"/>
        <w:rPr>
          <w:rFonts w:ascii="Times New Roman" w:hAnsi="Times New Roman"/>
          <w:sz w:val="24"/>
          <w:szCs w:val="24"/>
        </w:rPr>
      </w:pPr>
      <w:r w:rsidRPr="00B4124A">
        <w:rPr>
          <w:rStyle w:val="bold-font"/>
          <w:rFonts w:ascii="Times New Roman" w:hAnsi="Times New Roman"/>
          <w:color w:val="333333"/>
          <w:sz w:val="24"/>
          <w:szCs w:val="24"/>
          <w:shd w:val="clear" w:color="auto" w:fill="FFFFFF"/>
        </w:rPr>
        <w:t>Nordex (Germany) -3.4% </w:t>
      </w:r>
    </w:p>
    <w:p w:rsidR="008E7A3A" w:rsidRPr="00B4124A" w:rsidRDefault="008E7A3A" w:rsidP="008E7A3A">
      <w:pPr>
        <w:widowControl w:val="0"/>
        <w:overflowPunct w:val="0"/>
        <w:autoSpaceDE w:val="0"/>
        <w:autoSpaceDN w:val="0"/>
        <w:adjustRightInd w:val="0"/>
        <w:spacing w:after="0" w:line="277" w:lineRule="auto"/>
        <w:ind w:right="2340"/>
        <w:rPr>
          <w:rFonts w:ascii="Times New Roman" w:hAnsi="Times New Roman"/>
          <w:sz w:val="24"/>
          <w:szCs w:val="24"/>
        </w:rPr>
      </w:pPr>
      <w:r w:rsidRPr="00B4124A">
        <w:rPr>
          <w:rFonts w:ascii="Times New Roman" w:hAnsi="Times New Roman"/>
          <w:b/>
          <w:bCs/>
          <w:sz w:val="24"/>
          <w:szCs w:val="24"/>
        </w:rPr>
        <w:lastRenderedPageBreak/>
        <w:t>Glance at Market of Wind Energy concerning to Germany:</w:t>
      </w:r>
    </w:p>
    <w:p w:rsidR="008E7A3A" w:rsidRPr="00B4124A" w:rsidRDefault="008E7A3A" w:rsidP="008E7A3A">
      <w:pPr>
        <w:widowControl w:val="0"/>
        <w:autoSpaceDE w:val="0"/>
        <w:autoSpaceDN w:val="0"/>
        <w:adjustRightInd w:val="0"/>
        <w:spacing w:after="0" w:line="153" w:lineRule="exact"/>
        <w:rPr>
          <w:rFonts w:ascii="Times New Roman" w:hAnsi="Times New Roman"/>
          <w:sz w:val="24"/>
          <w:szCs w:val="24"/>
        </w:rPr>
      </w:pPr>
    </w:p>
    <w:p w:rsidR="008E7A3A" w:rsidRPr="00B4124A" w:rsidRDefault="008E7A3A" w:rsidP="00B4124A">
      <w:pPr>
        <w:widowControl w:val="0"/>
        <w:overflowPunct w:val="0"/>
        <w:autoSpaceDE w:val="0"/>
        <w:autoSpaceDN w:val="0"/>
        <w:adjustRightInd w:val="0"/>
        <w:spacing w:after="0" w:line="247" w:lineRule="auto"/>
        <w:ind w:right="20"/>
        <w:jc w:val="both"/>
        <w:rPr>
          <w:rFonts w:ascii="Times New Roman" w:hAnsi="Times New Roman"/>
          <w:sz w:val="24"/>
          <w:szCs w:val="24"/>
        </w:rPr>
      </w:pPr>
      <w:r w:rsidRPr="00B4124A">
        <w:rPr>
          <w:rFonts w:ascii="Times New Roman" w:hAnsi="Times New Roman"/>
          <w:sz w:val="24"/>
          <w:szCs w:val="24"/>
        </w:rPr>
        <w:t xml:space="preserve">Germany is Europe’s leading wind energy market with 11% of globally installed capacity in 2013 (GWEC 2014) </w:t>
      </w:r>
    </w:p>
    <w:p w:rsidR="008E7A3A" w:rsidRPr="00B4124A" w:rsidRDefault="008E7A3A" w:rsidP="00B4124A">
      <w:pPr>
        <w:widowControl w:val="0"/>
        <w:autoSpaceDE w:val="0"/>
        <w:autoSpaceDN w:val="0"/>
        <w:adjustRightInd w:val="0"/>
        <w:spacing w:after="0" w:line="1" w:lineRule="exact"/>
        <w:rPr>
          <w:rFonts w:ascii="Times New Roman" w:hAnsi="Times New Roman"/>
          <w:sz w:val="24"/>
          <w:szCs w:val="24"/>
        </w:rPr>
      </w:pPr>
    </w:p>
    <w:p w:rsidR="008E7A3A" w:rsidRPr="00B4124A" w:rsidRDefault="008E7A3A" w:rsidP="00B4124A">
      <w:pPr>
        <w:widowControl w:val="0"/>
        <w:overflowPunct w:val="0"/>
        <w:autoSpaceDE w:val="0"/>
        <w:autoSpaceDN w:val="0"/>
        <w:adjustRightInd w:val="0"/>
        <w:spacing w:after="0" w:line="247" w:lineRule="auto"/>
        <w:ind w:right="500"/>
        <w:jc w:val="both"/>
        <w:rPr>
          <w:rFonts w:ascii="Times New Roman" w:hAnsi="Times New Roman"/>
          <w:sz w:val="24"/>
          <w:szCs w:val="24"/>
        </w:rPr>
      </w:pPr>
      <w:r w:rsidRPr="00B4124A">
        <w:rPr>
          <w:rFonts w:ascii="Times New Roman" w:hAnsi="Times New Roman"/>
          <w:sz w:val="24"/>
          <w:szCs w:val="24"/>
        </w:rPr>
        <w:t xml:space="preserve">Germany’s 9.1% share of global new installations made it the world’s second largest market for new installations in 2013. (GWEC 2014) </w:t>
      </w:r>
    </w:p>
    <w:p w:rsidR="008E7A3A" w:rsidRPr="00B4124A" w:rsidRDefault="008E7A3A" w:rsidP="00B4124A">
      <w:pPr>
        <w:widowControl w:val="0"/>
        <w:autoSpaceDE w:val="0"/>
        <w:autoSpaceDN w:val="0"/>
        <w:adjustRightInd w:val="0"/>
        <w:spacing w:after="0" w:line="1" w:lineRule="exact"/>
        <w:rPr>
          <w:rFonts w:ascii="Times New Roman" w:hAnsi="Times New Roman"/>
          <w:sz w:val="24"/>
          <w:szCs w:val="24"/>
        </w:rPr>
      </w:pPr>
    </w:p>
    <w:p w:rsidR="008E7A3A" w:rsidRPr="00B4124A" w:rsidRDefault="008E7A3A" w:rsidP="00B4124A">
      <w:pPr>
        <w:widowControl w:val="0"/>
        <w:overflowPunct w:val="0"/>
        <w:autoSpaceDE w:val="0"/>
        <w:autoSpaceDN w:val="0"/>
        <w:adjustRightInd w:val="0"/>
        <w:spacing w:after="0" w:line="240" w:lineRule="auto"/>
        <w:jc w:val="both"/>
        <w:rPr>
          <w:rFonts w:ascii="Times New Roman" w:hAnsi="Times New Roman"/>
          <w:sz w:val="24"/>
          <w:szCs w:val="24"/>
        </w:rPr>
      </w:pPr>
      <w:r w:rsidRPr="00B4124A">
        <w:rPr>
          <w:rFonts w:ascii="Times New Roman" w:hAnsi="Times New Roman"/>
          <w:sz w:val="24"/>
          <w:szCs w:val="24"/>
        </w:rPr>
        <w:t xml:space="preserve">The country’s wind energy sector employs over 100,000 people. (BMU 2012) </w:t>
      </w:r>
    </w:p>
    <w:p w:rsidR="008E7A3A" w:rsidRPr="00B4124A" w:rsidRDefault="008E7A3A" w:rsidP="00B4124A">
      <w:pPr>
        <w:widowControl w:val="0"/>
        <w:autoSpaceDE w:val="0"/>
        <w:autoSpaceDN w:val="0"/>
        <w:adjustRightInd w:val="0"/>
        <w:spacing w:after="0" w:line="16" w:lineRule="exact"/>
        <w:rPr>
          <w:rFonts w:ascii="Times New Roman" w:hAnsi="Times New Roman"/>
          <w:sz w:val="24"/>
          <w:szCs w:val="24"/>
        </w:rPr>
      </w:pPr>
    </w:p>
    <w:p w:rsidR="008E7A3A" w:rsidRPr="00B4124A" w:rsidRDefault="008E7A3A" w:rsidP="00B4124A">
      <w:pPr>
        <w:widowControl w:val="0"/>
        <w:overflowPunct w:val="0"/>
        <w:autoSpaceDE w:val="0"/>
        <w:autoSpaceDN w:val="0"/>
        <w:adjustRightInd w:val="0"/>
        <w:spacing w:after="0" w:line="247" w:lineRule="auto"/>
        <w:ind w:right="20"/>
        <w:jc w:val="both"/>
        <w:rPr>
          <w:rFonts w:ascii="Times New Roman" w:hAnsi="Times New Roman"/>
          <w:sz w:val="24"/>
          <w:szCs w:val="24"/>
        </w:rPr>
      </w:pPr>
      <w:r w:rsidRPr="00B4124A">
        <w:rPr>
          <w:rFonts w:ascii="Times New Roman" w:hAnsi="Times New Roman"/>
          <w:sz w:val="24"/>
          <w:szCs w:val="24"/>
        </w:rPr>
        <w:t xml:space="preserve">Total installed capacity increased by 9.5% to 34,250 MW in 2014. (Deutsche Wind guard 2014: On- &amp; Offshore Statistics Fact Sheets 2013) </w:t>
      </w:r>
    </w:p>
    <w:p w:rsidR="008E7A3A" w:rsidRPr="00B4124A" w:rsidRDefault="008E7A3A" w:rsidP="00B4124A">
      <w:pPr>
        <w:widowControl w:val="0"/>
        <w:overflowPunct w:val="0"/>
        <w:autoSpaceDE w:val="0"/>
        <w:autoSpaceDN w:val="0"/>
        <w:adjustRightInd w:val="0"/>
        <w:spacing w:after="0" w:line="272" w:lineRule="auto"/>
        <w:ind w:right="440"/>
        <w:jc w:val="both"/>
        <w:rPr>
          <w:rFonts w:ascii="Times New Roman" w:hAnsi="Times New Roman"/>
          <w:sz w:val="24"/>
          <w:szCs w:val="24"/>
        </w:rPr>
      </w:pPr>
      <w:r w:rsidRPr="00B4124A">
        <w:rPr>
          <w:rFonts w:ascii="Times New Roman" w:hAnsi="Times New Roman"/>
          <w:sz w:val="24"/>
          <w:szCs w:val="24"/>
        </w:rPr>
        <w:t xml:space="preserve">34% increase in newly installed nominal capacity between 2012 and 2013. (Deutsche </w:t>
      </w:r>
      <w:r w:rsidR="00AE25F1" w:rsidRPr="00B4124A">
        <w:rPr>
          <w:rFonts w:ascii="Times New Roman" w:hAnsi="Times New Roman"/>
          <w:sz w:val="24"/>
          <w:szCs w:val="24"/>
        </w:rPr>
        <w:t>Wind guard</w:t>
      </w:r>
      <w:r w:rsidRPr="00B4124A">
        <w:rPr>
          <w:rFonts w:ascii="Times New Roman" w:hAnsi="Times New Roman"/>
          <w:sz w:val="24"/>
          <w:szCs w:val="24"/>
        </w:rPr>
        <w:t xml:space="preserve"> 2014: On- &amp; Offshore Statistics Fact Sheets 2013) </w:t>
      </w:r>
    </w:p>
    <w:p w:rsidR="008E7A3A" w:rsidRPr="00B4124A" w:rsidRDefault="008E7A3A" w:rsidP="008E7A3A">
      <w:pPr>
        <w:widowControl w:val="0"/>
        <w:autoSpaceDE w:val="0"/>
        <w:autoSpaceDN w:val="0"/>
        <w:adjustRightInd w:val="0"/>
        <w:spacing w:after="0" w:line="240" w:lineRule="auto"/>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277" w:lineRule="auto"/>
        <w:rPr>
          <w:rFonts w:ascii="Times New Roman" w:hAnsi="Times New Roman"/>
          <w:sz w:val="24"/>
          <w:szCs w:val="24"/>
        </w:rPr>
      </w:pPr>
      <w:bookmarkStart w:id="6" w:name="page7"/>
      <w:bookmarkEnd w:id="6"/>
      <w:r w:rsidRPr="00B4124A">
        <w:rPr>
          <w:rFonts w:ascii="Times New Roman" w:hAnsi="Times New Roman"/>
          <w:b/>
          <w:bCs/>
          <w:sz w:val="24"/>
          <w:szCs w:val="24"/>
        </w:rPr>
        <w:t>Glance of global market analysis of Wind Energy in UK:</w:t>
      </w:r>
    </w:p>
    <w:p w:rsidR="008E7A3A" w:rsidRPr="00B4124A" w:rsidRDefault="008E7A3A" w:rsidP="008E7A3A">
      <w:pPr>
        <w:widowControl w:val="0"/>
        <w:autoSpaceDE w:val="0"/>
        <w:autoSpaceDN w:val="0"/>
        <w:adjustRightInd w:val="0"/>
        <w:spacing w:after="0" w:line="58" w:lineRule="exact"/>
        <w:rPr>
          <w:rFonts w:ascii="Times New Roman" w:hAnsi="Times New Roman"/>
          <w:sz w:val="24"/>
          <w:szCs w:val="24"/>
        </w:rPr>
      </w:pPr>
      <w:bookmarkStart w:id="7" w:name="page8"/>
      <w:bookmarkEnd w:id="7"/>
    </w:p>
    <w:p w:rsidR="008E7A3A" w:rsidRPr="00B4124A" w:rsidRDefault="008E7A3A" w:rsidP="008E7A3A">
      <w:pPr>
        <w:widowControl w:val="0"/>
        <w:overflowPunct w:val="0"/>
        <w:autoSpaceDE w:val="0"/>
        <w:autoSpaceDN w:val="0"/>
        <w:adjustRightInd w:val="0"/>
        <w:spacing w:after="0" w:line="302" w:lineRule="auto"/>
        <w:jc w:val="both"/>
        <w:rPr>
          <w:rFonts w:ascii="Times New Roman" w:hAnsi="Times New Roman"/>
          <w:sz w:val="24"/>
          <w:szCs w:val="24"/>
        </w:rPr>
      </w:pPr>
      <w:r w:rsidRPr="00B4124A">
        <w:rPr>
          <w:rFonts w:ascii="Times New Roman" w:hAnsi="Times New Roman"/>
          <w:sz w:val="24"/>
          <w:szCs w:val="24"/>
        </w:rPr>
        <w:t xml:space="preserve">The UK is one of the best locations for wind power in the world, and is considered to be the best in Europe. Wind power delivers a growing fraction of the energy in the United Kingdom and at the beginning of January </w:t>
      </w:r>
      <w:proofErr w:type="gramStart"/>
      <w:r w:rsidRPr="00B4124A">
        <w:rPr>
          <w:rFonts w:ascii="Times New Roman" w:hAnsi="Times New Roman"/>
          <w:sz w:val="24"/>
          <w:szCs w:val="24"/>
        </w:rPr>
        <w:t>2015,</w:t>
      </w:r>
      <w:proofErr w:type="gramEnd"/>
      <w:r w:rsidRPr="00B4124A">
        <w:rPr>
          <w:rFonts w:ascii="Times New Roman" w:hAnsi="Times New Roman"/>
          <w:sz w:val="24"/>
          <w:szCs w:val="24"/>
        </w:rPr>
        <w:t xml:space="preserve"> wind power in the United Kingdom consisted of 5,958 wind turbines.</w:t>
      </w:r>
    </w:p>
    <w:p w:rsidR="008E7A3A" w:rsidRPr="00B4124A" w:rsidRDefault="008E7A3A" w:rsidP="008E7A3A">
      <w:pPr>
        <w:widowControl w:val="0"/>
        <w:autoSpaceDE w:val="0"/>
        <w:autoSpaceDN w:val="0"/>
        <w:adjustRightInd w:val="0"/>
        <w:spacing w:after="0" w:line="75" w:lineRule="exact"/>
        <w:rPr>
          <w:rFonts w:ascii="Times New Roman" w:hAnsi="Times New Roman"/>
          <w:sz w:val="24"/>
          <w:szCs w:val="24"/>
        </w:rPr>
      </w:pPr>
    </w:p>
    <w:p w:rsidR="008E7A3A" w:rsidRPr="00B4124A" w:rsidRDefault="008E7A3A" w:rsidP="008E7A3A">
      <w:pPr>
        <w:widowControl w:val="0"/>
        <w:autoSpaceDE w:val="0"/>
        <w:autoSpaceDN w:val="0"/>
        <w:adjustRightInd w:val="0"/>
        <w:spacing w:after="0" w:line="240" w:lineRule="auto"/>
        <w:rPr>
          <w:rFonts w:ascii="Times New Roman" w:hAnsi="Times New Roman"/>
          <w:sz w:val="24"/>
          <w:szCs w:val="24"/>
        </w:rPr>
      </w:pPr>
      <w:r w:rsidRPr="00B4124A">
        <w:rPr>
          <w:rFonts w:ascii="Times New Roman" w:hAnsi="Times New Roman"/>
          <w:sz w:val="24"/>
          <w:szCs w:val="24"/>
        </w:rPr>
        <w:t>With total installed capacity of just under 12GW.</w:t>
      </w:r>
    </w:p>
    <w:p w:rsidR="008E7A3A" w:rsidRPr="00B4124A" w:rsidRDefault="008E7A3A" w:rsidP="008E7A3A">
      <w:pPr>
        <w:widowControl w:val="0"/>
        <w:autoSpaceDE w:val="0"/>
        <w:autoSpaceDN w:val="0"/>
        <w:adjustRightInd w:val="0"/>
        <w:spacing w:after="0" w:line="174" w:lineRule="exact"/>
        <w:rPr>
          <w:rFonts w:ascii="Times New Roman" w:hAnsi="Times New Roman"/>
          <w:sz w:val="24"/>
          <w:szCs w:val="24"/>
        </w:rPr>
      </w:pPr>
    </w:p>
    <w:p w:rsidR="008E7A3A" w:rsidRPr="00B4124A" w:rsidRDefault="008E7A3A" w:rsidP="008E7A3A">
      <w:pPr>
        <w:widowControl w:val="0"/>
        <w:numPr>
          <w:ilvl w:val="0"/>
          <w:numId w:val="2"/>
        </w:numPr>
        <w:tabs>
          <w:tab w:val="clear" w:pos="720"/>
          <w:tab w:val="num" w:pos="420"/>
        </w:tabs>
        <w:overflowPunct w:val="0"/>
        <w:autoSpaceDE w:val="0"/>
        <w:autoSpaceDN w:val="0"/>
        <w:adjustRightInd w:val="0"/>
        <w:spacing w:after="0" w:line="240" w:lineRule="auto"/>
        <w:ind w:left="420"/>
        <w:jc w:val="both"/>
        <w:rPr>
          <w:rFonts w:ascii="Times New Roman" w:hAnsi="Times New Roman"/>
          <w:sz w:val="24"/>
          <w:szCs w:val="24"/>
        </w:rPr>
      </w:pPr>
      <w:r w:rsidRPr="00B4124A">
        <w:rPr>
          <w:rFonts w:ascii="Times New Roman" w:hAnsi="Times New Roman"/>
          <w:sz w:val="24"/>
          <w:szCs w:val="24"/>
        </w:rPr>
        <w:t xml:space="preserve">7,950 MW of </w:t>
      </w:r>
      <w:r w:rsidRPr="00B4124A">
        <w:rPr>
          <w:rFonts w:ascii="Times New Roman" w:hAnsi="Times New Roman"/>
          <w:b/>
          <w:bCs/>
          <w:sz w:val="24"/>
          <w:szCs w:val="24"/>
        </w:rPr>
        <w:t>onshore capacity</w:t>
      </w:r>
      <w:r w:rsidRPr="00B4124A">
        <w:rPr>
          <w:rFonts w:ascii="Times New Roman" w:hAnsi="Times New Roman"/>
          <w:sz w:val="24"/>
          <w:szCs w:val="24"/>
        </w:rPr>
        <w:t xml:space="preserve"> </w:t>
      </w:r>
    </w:p>
    <w:p w:rsidR="008E7A3A" w:rsidRPr="00B4124A" w:rsidRDefault="008E7A3A" w:rsidP="008E7A3A">
      <w:pPr>
        <w:widowControl w:val="0"/>
        <w:autoSpaceDE w:val="0"/>
        <w:autoSpaceDN w:val="0"/>
        <w:adjustRightInd w:val="0"/>
        <w:spacing w:after="0" w:line="180" w:lineRule="exact"/>
        <w:rPr>
          <w:rFonts w:ascii="Times New Roman" w:hAnsi="Times New Roman"/>
          <w:sz w:val="24"/>
          <w:szCs w:val="24"/>
        </w:rPr>
      </w:pPr>
    </w:p>
    <w:p w:rsidR="008E7A3A" w:rsidRPr="00B4124A" w:rsidRDefault="008E7A3A" w:rsidP="008E7A3A">
      <w:pPr>
        <w:widowControl w:val="0"/>
        <w:numPr>
          <w:ilvl w:val="0"/>
          <w:numId w:val="2"/>
        </w:numPr>
        <w:tabs>
          <w:tab w:val="clear" w:pos="720"/>
          <w:tab w:val="num" w:pos="420"/>
        </w:tabs>
        <w:overflowPunct w:val="0"/>
        <w:autoSpaceDE w:val="0"/>
        <w:autoSpaceDN w:val="0"/>
        <w:adjustRightInd w:val="0"/>
        <w:spacing w:after="0" w:line="240" w:lineRule="auto"/>
        <w:ind w:left="420"/>
        <w:jc w:val="both"/>
        <w:rPr>
          <w:rFonts w:ascii="Times New Roman" w:hAnsi="Times New Roman"/>
          <w:sz w:val="24"/>
          <w:szCs w:val="24"/>
        </w:rPr>
      </w:pPr>
      <w:r w:rsidRPr="00B4124A">
        <w:rPr>
          <w:rFonts w:ascii="Times New Roman" w:hAnsi="Times New Roman"/>
          <w:sz w:val="24"/>
          <w:szCs w:val="24"/>
        </w:rPr>
        <w:t xml:space="preserve">4,049 MW of </w:t>
      </w:r>
      <w:r w:rsidRPr="00B4124A">
        <w:rPr>
          <w:rFonts w:ascii="Times New Roman" w:hAnsi="Times New Roman"/>
          <w:b/>
          <w:bCs/>
          <w:sz w:val="24"/>
          <w:szCs w:val="24"/>
        </w:rPr>
        <w:t>offshore capacity</w:t>
      </w:r>
      <w:r w:rsidRPr="00B4124A">
        <w:rPr>
          <w:rFonts w:ascii="Times New Roman" w:hAnsi="Times New Roman"/>
          <w:sz w:val="24"/>
          <w:szCs w:val="24"/>
        </w:rPr>
        <w:t xml:space="preserve"> </w:t>
      </w:r>
    </w:p>
    <w:p w:rsidR="008E7A3A" w:rsidRPr="00B4124A" w:rsidRDefault="008E7A3A" w:rsidP="008E7A3A">
      <w:pPr>
        <w:widowControl w:val="0"/>
        <w:autoSpaceDE w:val="0"/>
        <w:autoSpaceDN w:val="0"/>
        <w:adjustRightInd w:val="0"/>
        <w:spacing w:after="0" w:line="200" w:lineRule="exact"/>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300" w:lineRule="auto"/>
        <w:jc w:val="both"/>
        <w:rPr>
          <w:rFonts w:ascii="Times New Roman" w:hAnsi="Times New Roman"/>
          <w:sz w:val="24"/>
          <w:szCs w:val="24"/>
        </w:rPr>
      </w:pPr>
      <w:r w:rsidRPr="00B4124A">
        <w:rPr>
          <w:rFonts w:ascii="Times New Roman" w:hAnsi="Times New Roman"/>
          <w:sz w:val="24"/>
          <w:szCs w:val="24"/>
        </w:rPr>
        <w:t>The United Kingdom is ranked as the world's sixth largest producer of wind power, having overtaken France and Italy in 2012. Polling of public opinion consistently shows strong support for wind power in the UK, with nearly three quarters of the population agreeing with its use, even for people living near onshore wind turbines. In 2015 it was estimated that the use of wind power in the UK added £18 to the average yearly electricity bill.</w:t>
      </w:r>
    </w:p>
    <w:p w:rsidR="008E7A3A" w:rsidRPr="00B4124A" w:rsidRDefault="008E7A3A" w:rsidP="008E7A3A">
      <w:pPr>
        <w:widowControl w:val="0"/>
        <w:autoSpaceDE w:val="0"/>
        <w:autoSpaceDN w:val="0"/>
        <w:adjustRightInd w:val="0"/>
        <w:spacing w:after="0" w:line="75" w:lineRule="exact"/>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307" w:lineRule="auto"/>
        <w:jc w:val="both"/>
        <w:rPr>
          <w:rFonts w:ascii="Times New Roman" w:hAnsi="Times New Roman"/>
          <w:sz w:val="24"/>
          <w:szCs w:val="24"/>
        </w:rPr>
      </w:pPr>
      <w:r w:rsidRPr="00B4124A">
        <w:rPr>
          <w:rFonts w:ascii="Times New Roman" w:hAnsi="Times New Roman"/>
          <w:sz w:val="24"/>
          <w:szCs w:val="24"/>
        </w:rPr>
        <w:t xml:space="preserve">1.3 GW of new wind power capacity was brought online during </w:t>
      </w:r>
      <w:proofErr w:type="gramStart"/>
      <w:r w:rsidRPr="00B4124A">
        <w:rPr>
          <w:rFonts w:ascii="Times New Roman" w:hAnsi="Times New Roman"/>
          <w:sz w:val="24"/>
          <w:szCs w:val="24"/>
        </w:rPr>
        <w:t>2014,</w:t>
      </w:r>
      <w:proofErr w:type="gramEnd"/>
      <w:r w:rsidRPr="00B4124A">
        <w:rPr>
          <w:rFonts w:ascii="Times New Roman" w:hAnsi="Times New Roman"/>
          <w:sz w:val="24"/>
          <w:szCs w:val="24"/>
        </w:rPr>
        <w:t xml:space="preserve"> a 12% increase of the total UK installed capacity. The largest wind farms to come on stream in 2014 were </w:t>
      </w:r>
      <w:proofErr w:type="spellStart"/>
      <w:r w:rsidRPr="00B4124A">
        <w:rPr>
          <w:rFonts w:ascii="Times New Roman" w:hAnsi="Times New Roman"/>
          <w:sz w:val="24"/>
          <w:szCs w:val="24"/>
        </w:rPr>
        <w:t>Harestanes</w:t>
      </w:r>
      <w:proofErr w:type="spellEnd"/>
      <w:r w:rsidRPr="00B4124A">
        <w:rPr>
          <w:rFonts w:ascii="Times New Roman" w:hAnsi="Times New Roman"/>
          <w:sz w:val="24"/>
          <w:szCs w:val="24"/>
        </w:rPr>
        <w:t xml:space="preserve"> onshore (136 MW max. capacity) and West of </w:t>
      </w:r>
      <w:proofErr w:type="spellStart"/>
      <w:r w:rsidRPr="00B4124A">
        <w:rPr>
          <w:rFonts w:ascii="Times New Roman" w:hAnsi="Times New Roman"/>
          <w:sz w:val="24"/>
          <w:szCs w:val="24"/>
        </w:rPr>
        <w:t>Duddon</w:t>
      </w:r>
      <w:proofErr w:type="spellEnd"/>
      <w:r w:rsidRPr="00B4124A">
        <w:rPr>
          <w:rFonts w:ascii="Times New Roman" w:hAnsi="Times New Roman"/>
          <w:sz w:val="24"/>
          <w:szCs w:val="24"/>
        </w:rPr>
        <w:t xml:space="preserve"> </w:t>
      </w:r>
      <w:proofErr w:type="spellStart"/>
      <w:r w:rsidRPr="00B4124A">
        <w:rPr>
          <w:rFonts w:ascii="Times New Roman" w:hAnsi="Times New Roman"/>
          <w:sz w:val="24"/>
          <w:szCs w:val="24"/>
        </w:rPr>
        <w:t>Sandsoffshore</w:t>
      </w:r>
      <w:proofErr w:type="spellEnd"/>
      <w:r w:rsidRPr="00B4124A">
        <w:rPr>
          <w:rFonts w:ascii="Times New Roman" w:hAnsi="Times New Roman"/>
          <w:sz w:val="24"/>
          <w:szCs w:val="24"/>
        </w:rPr>
        <w:t xml:space="preserve"> (389 MW).</w:t>
      </w:r>
    </w:p>
    <w:p w:rsidR="008E7A3A" w:rsidRPr="00B4124A" w:rsidRDefault="008E7A3A" w:rsidP="008E7A3A">
      <w:pPr>
        <w:widowControl w:val="0"/>
        <w:autoSpaceDE w:val="0"/>
        <w:autoSpaceDN w:val="0"/>
        <w:adjustRightInd w:val="0"/>
        <w:spacing w:after="0" w:line="69" w:lineRule="exact"/>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323" w:lineRule="auto"/>
        <w:jc w:val="both"/>
        <w:rPr>
          <w:rFonts w:ascii="Times New Roman" w:hAnsi="Times New Roman"/>
          <w:sz w:val="24"/>
          <w:szCs w:val="24"/>
        </w:rPr>
      </w:pPr>
      <w:r w:rsidRPr="00B4124A">
        <w:rPr>
          <w:rFonts w:ascii="Times New Roman" w:hAnsi="Times New Roman"/>
          <w:sz w:val="24"/>
          <w:szCs w:val="24"/>
        </w:rPr>
        <w:t xml:space="preserve">In 2014, 28.1 </w:t>
      </w:r>
      <w:proofErr w:type="spellStart"/>
      <w:r w:rsidRPr="00B4124A">
        <w:rPr>
          <w:rFonts w:ascii="Times New Roman" w:hAnsi="Times New Roman"/>
          <w:sz w:val="24"/>
          <w:szCs w:val="24"/>
        </w:rPr>
        <w:t>TW·h</w:t>
      </w:r>
      <w:proofErr w:type="spellEnd"/>
      <w:r w:rsidRPr="00B4124A">
        <w:rPr>
          <w:rFonts w:ascii="Times New Roman" w:hAnsi="Times New Roman"/>
          <w:sz w:val="24"/>
          <w:szCs w:val="24"/>
        </w:rPr>
        <w:t xml:space="preserve"> of energy was generated by wind power, which contributed 9.3% of the UK's electricity requirement.</w:t>
      </w:r>
    </w:p>
    <w:p w:rsidR="008E7A3A" w:rsidRPr="00B4124A" w:rsidRDefault="008E7A3A" w:rsidP="008E7A3A">
      <w:pPr>
        <w:widowControl w:val="0"/>
        <w:autoSpaceDE w:val="0"/>
        <w:autoSpaceDN w:val="0"/>
        <w:adjustRightInd w:val="0"/>
        <w:spacing w:after="0" w:line="49" w:lineRule="exact"/>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300" w:lineRule="auto"/>
        <w:jc w:val="both"/>
        <w:rPr>
          <w:rFonts w:ascii="Times New Roman" w:hAnsi="Times New Roman"/>
          <w:sz w:val="24"/>
          <w:szCs w:val="24"/>
        </w:rPr>
      </w:pPr>
      <w:r w:rsidRPr="00B4124A">
        <w:rPr>
          <w:rFonts w:ascii="Times New Roman" w:hAnsi="Times New Roman"/>
          <w:sz w:val="24"/>
          <w:szCs w:val="24"/>
        </w:rPr>
        <w:t xml:space="preserve">Through the Renewables Obligation, British electricity suppliers are now required by law to provide a proportion of their sales from renewable sources such as wind power or pay a penalty fee. The supplier then receives a Renewables Obligation Certificate (ROC) for each </w:t>
      </w:r>
      <w:proofErr w:type="spellStart"/>
      <w:r w:rsidRPr="00B4124A">
        <w:rPr>
          <w:rFonts w:ascii="Times New Roman" w:hAnsi="Times New Roman"/>
          <w:sz w:val="24"/>
          <w:szCs w:val="24"/>
        </w:rPr>
        <w:t>MW·h</w:t>
      </w:r>
      <w:proofErr w:type="spellEnd"/>
      <w:r w:rsidRPr="00B4124A">
        <w:rPr>
          <w:rFonts w:ascii="Times New Roman" w:hAnsi="Times New Roman"/>
          <w:sz w:val="24"/>
          <w:szCs w:val="24"/>
        </w:rPr>
        <w:t xml:space="preserve"> of electricity they have purchased. Within the United Kingdom, wind power is the largest </w:t>
      </w:r>
      <w:r w:rsidR="00B4124A">
        <w:rPr>
          <w:rFonts w:ascii="Times New Roman" w:hAnsi="Times New Roman"/>
          <w:sz w:val="24"/>
          <w:szCs w:val="24"/>
        </w:rPr>
        <w:t>source of renewable electricity</w:t>
      </w:r>
      <w:r w:rsidRPr="00B4124A">
        <w:rPr>
          <w:rFonts w:ascii="Times New Roman" w:hAnsi="Times New Roman"/>
          <w:sz w:val="24"/>
          <w:szCs w:val="24"/>
        </w:rPr>
        <w:t xml:space="preserve"> and the second largest source of renewable energy after biomass.</w:t>
      </w:r>
    </w:p>
    <w:p w:rsidR="008E7A3A" w:rsidRPr="00B4124A" w:rsidRDefault="008E7A3A" w:rsidP="008E7A3A">
      <w:pPr>
        <w:widowControl w:val="0"/>
        <w:autoSpaceDE w:val="0"/>
        <w:autoSpaceDN w:val="0"/>
        <w:adjustRightInd w:val="0"/>
        <w:spacing w:after="0" w:line="75" w:lineRule="exact"/>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307" w:lineRule="auto"/>
        <w:jc w:val="both"/>
        <w:rPr>
          <w:rFonts w:ascii="Times New Roman" w:hAnsi="Times New Roman"/>
          <w:sz w:val="24"/>
          <w:szCs w:val="24"/>
        </w:rPr>
      </w:pPr>
      <w:r w:rsidRPr="00B4124A">
        <w:rPr>
          <w:rFonts w:ascii="Times New Roman" w:hAnsi="Times New Roman"/>
          <w:sz w:val="24"/>
          <w:szCs w:val="24"/>
        </w:rPr>
        <w:t>The number of wind farms in the UK is steadily increasing and as the industry grows, prices of generating electricity in this way should fall. In 2008 the UK became the country with the most offshore wind capacity, overtaking Denmark.</w:t>
      </w:r>
    </w:p>
    <w:p w:rsidR="00B4124A" w:rsidRDefault="00B4124A" w:rsidP="008E7A3A">
      <w:pPr>
        <w:widowControl w:val="0"/>
        <w:autoSpaceDE w:val="0"/>
        <w:autoSpaceDN w:val="0"/>
        <w:adjustRightInd w:val="0"/>
        <w:spacing w:after="0" w:line="240" w:lineRule="auto"/>
        <w:rPr>
          <w:rFonts w:ascii="Times New Roman" w:hAnsi="Times New Roman"/>
          <w:b/>
          <w:bCs/>
          <w:sz w:val="24"/>
          <w:szCs w:val="24"/>
        </w:rPr>
      </w:pPr>
    </w:p>
    <w:p w:rsidR="008E7A3A" w:rsidRPr="00B4124A" w:rsidRDefault="00AE25F1" w:rsidP="008E7A3A">
      <w:pPr>
        <w:widowControl w:val="0"/>
        <w:autoSpaceDE w:val="0"/>
        <w:autoSpaceDN w:val="0"/>
        <w:adjustRightInd w:val="0"/>
        <w:spacing w:after="0" w:line="240" w:lineRule="auto"/>
        <w:rPr>
          <w:rFonts w:ascii="Times New Roman" w:hAnsi="Times New Roman"/>
          <w:sz w:val="24"/>
          <w:szCs w:val="24"/>
        </w:rPr>
      </w:pPr>
      <w:r w:rsidRPr="00B4124A">
        <w:rPr>
          <w:rFonts w:ascii="Times New Roman" w:hAnsi="Times New Roman"/>
          <w:b/>
          <w:bCs/>
          <w:sz w:val="24"/>
          <w:szCs w:val="24"/>
        </w:rPr>
        <w:t>Public Opinion</w:t>
      </w:r>
      <w:r w:rsidR="008E7A3A" w:rsidRPr="00B4124A">
        <w:rPr>
          <w:rFonts w:ascii="Times New Roman" w:hAnsi="Times New Roman"/>
          <w:b/>
          <w:bCs/>
          <w:sz w:val="24"/>
          <w:szCs w:val="24"/>
        </w:rPr>
        <w:t>:</w:t>
      </w:r>
    </w:p>
    <w:p w:rsidR="008E7A3A" w:rsidRPr="00B4124A" w:rsidRDefault="008E7A3A" w:rsidP="008E7A3A">
      <w:pPr>
        <w:widowControl w:val="0"/>
        <w:overflowPunct w:val="0"/>
        <w:autoSpaceDE w:val="0"/>
        <w:autoSpaceDN w:val="0"/>
        <w:adjustRightInd w:val="0"/>
        <w:spacing w:after="0" w:line="306" w:lineRule="auto"/>
        <w:jc w:val="both"/>
        <w:rPr>
          <w:rFonts w:ascii="Times New Roman" w:hAnsi="Times New Roman"/>
          <w:sz w:val="24"/>
          <w:szCs w:val="24"/>
        </w:rPr>
      </w:pPr>
      <w:r w:rsidRPr="00B4124A">
        <w:rPr>
          <w:rFonts w:ascii="Times New Roman" w:hAnsi="Times New Roman"/>
          <w:sz w:val="24"/>
          <w:szCs w:val="24"/>
        </w:rPr>
        <w:t xml:space="preserve">Surveys of public attitudes across Europe and in many other countries show strong public support for </w:t>
      </w:r>
      <w:r w:rsidRPr="00B4124A">
        <w:rPr>
          <w:rFonts w:ascii="Times New Roman" w:hAnsi="Times New Roman"/>
          <w:sz w:val="24"/>
          <w:szCs w:val="24"/>
        </w:rPr>
        <w:lastRenderedPageBreak/>
        <w:t xml:space="preserve">wind power. About 80 </w:t>
      </w:r>
      <w:proofErr w:type="spellStart"/>
      <w:r w:rsidRPr="00B4124A">
        <w:rPr>
          <w:rFonts w:ascii="Times New Roman" w:hAnsi="Times New Roman"/>
          <w:sz w:val="24"/>
          <w:szCs w:val="24"/>
        </w:rPr>
        <w:t>percent</w:t>
      </w:r>
      <w:proofErr w:type="spellEnd"/>
      <w:r w:rsidRPr="00B4124A">
        <w:rPr>
          <w:rFonts w:ascii="Times New Roman" w:hAnsi="Times New Roman"/>
          <w:sz w:val="24"/>
          <w:szCs w:val="24"/>
        </w:rPr>
        <w:t xml:space="preserve"> of EU citizens support wind power.</w:t>
      </w:r>
    </w:p>
    <w:p w:rsidR="008E7A3A" w:rsidRPr="00B4124A" w:rsidRDefault="008E7A3A" w:rsidP="008E7A3A">
      <w:pPr>
        <w:widowControl w:val="0"/>
        <w:autoSpaceDE w:val="0"/>
        <w:autoSpaceDN w:val="0"/>
        <w:adjustRightInd w:val="0"/>
        <w:spacing w:after="0" w:line="8" w:lineRule="exact"/>
        <w:rPr>
          <w:rFonts w:ascii="Times New Roman" w:hAnsi="Times New Roman"/>
          <w:sz w:val="24"/>
          <w:szCs w:val="24"/>
        </w:rPr>
      </w:pPr>
      <w:bookmarkStart w:id="8" w:name="page9"/>
      <w:bookmarkEnd w:id="8"/>
    </w:p>
    <w:p w:rsidR="008E7A3A" w:rsidRPr="00B4124A" w:rsidRDefault="008E7A3A" w:rsidP="008E7A3A">
      <w:pPr>
        <w:widowControl w:val="0"/>
        <w:autoSpaceDE w:val="0"/>
        <w:autoSpaceDN w:val="0"/>
        <w:adjustRightInd w:val="0"/>
        <w:spacing w:after="0" w:line="1" w:lineRule="exact"/>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278" w:lineRule="auto"/>
        <w:jc w:val="both"/>
        <w:rPr>
          <w:rFonts w:ascii="Times New Roman" w:hAnsi="Times New Roman"/>
          <w:sz w:val="24"/>
          <w:szCs w:val="24"/>
        </w:rPr>
      </w:pPr>
      <w:r w:rsidRPr="00B4124A">
        <w:rPr>
          <w:rFonts w:ascii="Times New Roman" w:hAnsi="Times New Roman"/>
          <w:sz w:val="24"/>
          <w:szCs w:val="24"/>
        </w:rPr>
        <w:t>A 2003 survey of residents living around Scotland's 10 existing wind farms found high levels of community acceptance and strong support for wind power, with much support from those who lived closest to the wind farms. The results of this survey support those of an earlier Scottish Executive survey 'Public attitudes to the Environment in Scotland 2002', which found that the Scottish public would prefer the majority of their electricity to come from renewables, and which rated wind power as the cleanest source of renewable energy. A survey conducted in 2005 showed that 74% of people in Scotland agree that wind farms are necessary to meet current and future energy needs. When people were asked the same question in a Scottish renewables study conducted in 2010, 78% agreed. The increase is significant as there were twice as many wind farms in 2010 as there were in 2005. The 2010 survey also showed that 52% disagreed with the statement that wind farms are "ugly and a blot on the landscape". 59% agreed that wind farms were necessary and that how they looked was unimportant. Scotland is planning to obtain 100% of electricity from renewable sources by 2020.</w:t>
      </w:r>
    </w:p>
    <w:p w:rsidR="00B4124A" w:rsidRDefault="00B4124A" w:rsidP="008E7A3A">
      <w:pPr>
        <w:widowControl w:val="0"/>
        <w:overflowPunct w:val="0"/>
        <w:autoSpaceDE w:val="0"/>
        <w:autoSpaceDN w:val="0"/>
        <w:adjustRightInd w:val="0"/>
        <w:spacing w:after="0" w:line="277" w:lineRule="auto"/>
        <w:ind w:right="900"/>
        <w:rPr>
          <w:rFonts w:ascii="Times New Roman" w:hAnsi="Times New Roman"/>
          <w:b/>
          <w:bCs/>
          <w:sz w:val="24"/>
          <w:szCs w:val="24"/>
        </w:rPr>
      </w:pPr>
    </w:p>
    <w:p w:rsidR="008E7A3A" w:rsidRPr="00B4124A" w:rsidRDefault="008E7A3A" w:rsidP="008E7A3A">
      <w:pPr>
        <w:widowControl w:val="0"/>
        <w:overflowPunct w:val="0"/>
        <w:autoSpaceDE w:val="0"/>
        <w:autoSpaceDN w:val="0"/>
        <w:adjustRightInd w:val="0"/>
        <w:spacing w:after="0" w:line="277" w:lineRule="auto"/>
        <w:ind w:right="900"/>
        <w:rPr>
          <w:rFonts w:ascii="Times New Roman" w:hAnsi="Times New Roman"/>
          <w:sz w:val="24"/>
          <w:szCs w:val="24"/>
        </w:rPr>
      </w:pPr>
      <w:r w:rsidRPr="00B4124A">
        <w:rPr>
          <w:rFonts w:ascii="Times New Roman" w:hAnsi="Times New Roman"/>
          <w:b/>
          <w:bCs/>
          <w:sz w:val="24"/>
          <w:szCs w:val="24"/>
        </w:rPr>
        <w:t>Glance of global market analysis of Wind Energy in USA:</w:t>
      </w:r>
    </w:p>
    <w:p w:rsidR="008E7A3A" w:rsidRPr="00B4124A" w:rsidRDefault="008E7A3A" w:rsidP="008E7A3A">
      <w:pPr>
        <w:widowControl w:val="0"/>
        <w:autoSpaceDE w:val="0"/>
        <w:autoSpaceDN w:val="0"/>
        <w:adjustRightInd w:val="0"/>
        <w:spacing w:after="0" w:line="137" w:lineRule="exact"/>
        <w:rPr>
          <w:rFonts w:ascii="Times New Roman" w:hAnsi="Times New Roman"/>
          <w:sz w:val="24"/>
          <w:szCs w:val="24"/>
        </w:rPr>
      </w:pPr>
    </w:p>
    <w:p w:rsidR="008E7A3A" w:rsidRPr="00B4124A" w:rsidRDefault="008E7A3A" w:rsidP="008E7A3A">
      <w:pPr>
        <w:widowControl w:val="0"/>
        <w:overflowPunct w:val="0"/>
        <w:autoSpaceDE w:val="0"/>
        <w:autoSpaceDN w:val="0"/>
        <w:adjustRightInd w:val="0"/>
        <w:spacing w:after="0" w:line="281" w:lineRule="auto"/>
        <w:jc w:val="both"/>
        <w:rPr>
          <w:rFonts w:ascii="Times New Roman" w:hAnsi="Times New Roman"/>
          <w:sz w:val="24"/>
          <w:szCs w:val="24"/>
        </w:rPr>
      </w:pPr>
      <w:r w:rsidRPr="00B4124A">
        <w:rPr>
          <w:rFonts w:ascii="Times New Roman" w:hAnsi="Times New Roman"/>
          <w:sz w:val="24"/>
          <w:szCs w:val="24"/>
        </w:rPr>
        <w:t xml:space="preserve">Wind Power in the United States is a branch of the energy industry, expanding quickly over the last several years. As of the end of 2014 the capacity was 65,879 MW. This capacity is exceeded only by China and the European Union 11,895 MW of wind power was installed in 2012 alone, representing 26.5% of new power capacity. The U.S. wind industry has had an average annual growth of 25.6% over the last 10 years (beginning of 2005-end of 2014).Projects </w:t>
      </w:r>
      <w:proofErr w:type="spellStart"/>
      <w:r w:rsidRPr="00B4124A">
        <w:rPr>
          <w:rFonts w:ascii="Times New Roman" w:hAnsi="Times New Roman"/>
          <w:sz w:val="24"/>
          <w:szCs w:val="24"/>
        </w:rPr>
        <w:t>totaling</w:t>
      </w:r>
      <w:proofErr w:type="spellEnd"/>
      <w:r w:rsidRPr="00B4124A">
        <w:rPr>
          <w:rFonts w:ascii="Times New Roman" w:hAnsi="Times New Roman"/>
          <w:sz w:val="24"/>
          <w:szCs w:val="24"/>
        </w:rPr>
        <w:t xml:space="preserve"> 12,000 MW of capacity were under construction at the end of 2013, including 10,900 MW that began construction in the 4th quarter.</w:t>
      </w:r>
    </w:p>
    <w:p w:rsidR="008E7A3A" w:rsidRPr="00B4124A" w:rsidRDefault="008E7A3A" w:rsidP="008E7A3A">
      <w:pPr>
        <w:widowControl w:val="0"/>
        <w:overflowPunct w:val="0"/>
        <w:autoSpaceDE w:val="0"/>
        <w:autoSpaceDN w:val="0"/>
        <w:adjustRightInd w:val="0"/>
        <w:spacing w:after="0" w:line="281" w:lineRule="auto"/>
        <w:jc w:val="both"/>
        <w:rPr>
          <w:rFonts w:ascii="Times New Roman" w:hAnsi="Times New Roman"/>
          <w:sz w:val="24"/>
          <w:szCs w:val="24"/>
        </w:rPr>
      </w:pPr>
      <w:bookmarkStart w:id="9" w:name="page10"/>
      <w:bookmarkEnd w:id="9"/>
      <w:r w:rsidRPr="00B4124A">
        <w:rPr>
          <w:rFonts w:ascii="Times New Roman" w:hAnsi="Times New Roman"/>
          <w:sz w:val="24"/>
          <w:szCs w:val="24"/>
        </w:rPr>
        <w:t xml:space="preserve">Sixteen states have installed over 1,000 MW of wind capacity with Michigan just breaking the mark in the 4th quarter of 2013. Texas, with 14,098 MW of capacity, has the most installed wind power capacity of any U.S. state, and also has more under construction than any other state currently has installed. Second and third are California and Iowa with 5,917 MW and 5,688 MW respectively. The Alta Wind Energy </w:t>
      </w:r>
      <w:proofErr w:type="spellStart"/>
      <w:r w:rsidRPr="00B4124A">
        <w:rPr>
          <w:rFonts w:ascii="Times New Roman" w:hAnsi="Times New Roman"/>
          <w:sz w:val="24"/>
          <w:szCs w:val="24"/>
        </w:rPr>
        <w:t>Center</w:t>
      </w:r>
      <w:proofErr w:type="spellEnd"/>
      <w:r w:rsidRPr="00B4124A">
        <w:rPr>
          <w:rFonts w:ascii="Times New Roman" w:hAnsi="Times New Roman"/>
          <w:sz w:val="24"/>
          <w:szCs w:val="24"/>
        </w:rPr>
        <w:t xml:space="preserve"> in California is the largest wind farm in the United States with a capacity of 1320 MW of power. GE Energy is the largest domestic wind turbine manufacturer.</w:t>
      </w:r>
    </w:p>
    <w:p w:rsidR="007F4531" w:rsidRPr="00B4124A" w:rsidRDefault="008E7A3A" w:rsidP="00B4124A">
      <w:pPr>
        <w:widowControl w:val="0"/>
        <w:overflowPunct w:val="0"/>
        <w:autoSpaceDE w:val="0"/>
        <w:autoSpaceDN w:val="0"/>
        <w:adjustRightInd w:val="0"/>
        <w:spacing w:after="0" w:line="291" w:lineRule="auto"/>
        <w:jc w:val="both"/>
        <w:rPr>
          <w:rFonts w:ascii="Times New Roman" w:hAnsi="Times New Roman"/>
          <w:sz w:val="24"/>
          <w:szCs w:val="24"/>
        </w:rPr>
      </w:pPr>
      <w:r w:rsidRPr="00B4124A">
        <w:rPr>
          <w:rFonts w:ascii="Times New Roman" w:hAnsi="Times New Roman"/>
          <w:sz w:val="24"/>
          <w:szCs w:val="24"/>
        </w:rPr>
        <w:t>The U.S. Department of Energy’s report 20% Wind Energy by 2030 envisioned that wind power could supply 20% of all U.S. electricity, which included a contribution of 4% from offshore wind power. On January 1, 2013 the production tax credit was extended for another year.</w:t>
      </w:r>
      <w:bookmarkStart w:id="10" w:name="page11"/>
      <w:bookmarkEnd w:id="10"/>
    </w:p>
    <w:sectPr w:rsidR="007F4531" w:rsidRPr="00B4124A" w:rsidSect="008E7A3A">
      <w:pgSz w:w="12240" w:h="15840"/>
      <w:pgMar w:top="715" w:right="1041" w:bottom="1440" w:left="1440" w:header="720" w:footer="720" w:gutter="0"/>
      <w:cols w:space="720" w:equalWidth="0">
        <w:col w:w="975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CD526C4"/>
    <w:multiLevelType w:val="multilevel"/>
    <w:tmpl w:val="D3D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F2"/>
    <w:rsid w:val="00017896"/>
    <w:rsid w:val="00285D66"/>
    <w:rsid w:val="00474FC2"/>
    <w:rsid w:val="00480B7D"/>
    <w:rsid w:val="0079280B"/>
    <w:rsid w:val="008755F2"/>
    <w:rsid w:val="008E7A3A"/>
    <w:rsid w:val="00A14C69"/>
    <w:rsid w:val="00A8603A"/>
    <w:rsid w:val="00AE25F1"/>
    <w:rsid w:val="00B412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3A"/>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ont">
    <w:name w:val="bold-font"/>
    <w:basedOn w:val="DefaultParagraphFont"/>
    <w:rsid w:val="008E7A3A"/>
  </w:style>
  <w:style w:type="character" w:styleId="Strong">
    <w:name w:val="Strong"/>
    <w:basedOn w:val="DefaultParagraphFont"/>
    <w:uiPriority w:val="22"/>
    <w:qFormat/>
    <w:rsid w:val="008E7A3A"/>
    <w:rPr>
      <w:b/>
      <w:bCs/>
    </w:rPr>
  </w:style>
  <w:style w:type="character" w:customStyle="1" w:styleId="apple-converted-space">
    <w:name w:val="apple-converted-space"/>
    <w:basedOn w:val="DefaultParagraphFont"/>
    <w:rsid w:val="008E7A3A"/>
  </w:style>
  <w:style w:type="paragraph" w:styleId="BalloonText">
    <w:name w:val="Balloon Text"/>
    <w:basedOn w:val="Normal"/>
    <w:link w:val="BalloonTextChar"/>
    <w:uiPriority w:val="99"/>
    <w:semiHidden/>
    <w:unhideWhenUsed/>
    <w:rsid w:val="00B4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4A"/>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3A"/>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ont">
    <w:name w:val="bold-font"/>
    <w:basedOn w:val="DefaultParagraphFont"/>
    <w:rsid w:val="008E7A3A"/>
  </w:style>
  <w:style w:type="character" w:styleId="Strong">
    <w:name w:val="Strong"/>
    <w:basedOn w:val="DefaultParagraphFont"/>
    <w:uiPriority w:val="22"/>
    <w:qFormat/>
    <w:rsid w:val="008E7A3A"/>
    <w:rPr>
      <w:b/>
      <w:bCs/>
    </w:rPr>
  </w:style>
  <w:style w:type="character" w:customStyle="1" w:styleId="apple-converted-space">
    <w:name w:val="apple-converted-space"/>
    <w:basedOn w:val="DefaultParagraphFont"/>
    <w:rsid w:val="008E7A3A"/>
  </w:style>
  <w:style w:type="paragraph" w:styleId="BalloonText">
    <w:name w:val="Balloon Text"/>
    <w:basedOn w:val="Normal"/>
    <w:link w:val="BalloonTextChar"/>
    <w:uiPriority w:val="99"/>
    <w:semiHidden/>
    <w:unhideWhenUsed/>
    <w:rsid w:val="00B4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4A"/>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2020</c:v>
                </c:pt>
              </c:strCache>
            </c:strRef>
          </c:tx>
          <c:invertIfNegative val="0"/>
          <c:cat>
            <c:strRef>
              <c:f>Sheet1!$A$2:$A$11</c:f>
              <c:strCache>
                <c:ptCount val="10"/>
                <c:pt idx="0">
                  <c:v>OECD Pacific</c:v>
                </c:pt>
                <c:pt idx="1">
                  <c:v>OECD North America</c:v>
                </c:pt>
                <c:pt idx="2">
                  <c:v>China</c:v>
                </c:pt>
                <c:pt idx="3">
                  <c:v>Latin America</c:v>
                </c:pt>
                <c:pt idx="4">
                  <c:v>Non OECD Asia</c:v>
                </c:pt>
                <c:pt idx="5">
                  <c:v>India</c:v>
                </c:pt>
                <c:pt idx="6">
                  <c:v>Eastern Europe/Eurasia</c:v>
                </c:pt>
                <c:pt idx="7">
                  <c:v>Middle East</c:v>
                </c:pt>
                <c:pt idx="8">
                  <c:v>Africa</c:v>
                </c:pt>
                <c:pt idx="9">
                  <c:v>OECD Europe</c:v>
                </c:pt>
              </c:strCache>
            </c:strRef>
          </c:cat>
          <c:val>
            <c:numRef>
              <c:f>Sheet1!$B$2:$B$11</c:f>
              <c:numCache>
                <c:formatCode>General</c:formatCode>
                <c:ptCount val="10"/>
                <c:pt idx="0">
                  <c:v>2</c:v>
                </c:pt>
                <c:pt idx="1">
                  <c:v>21</c:v>
                </c:pt>
                <c:pt idx="2">
                  <c:v>31</c:v>
                </c:pt>
                <c:pt idx="3">
                  <c:v>1</c:v>
                </c:pt>
                <c:pt idx="4">
                  <c:v>1</c:v>
                </c:pt>
                <c:pt idx="5">
                  <c:v>6</c:v>
                </c:pt>
                <c:pt idx="6">
                  <c:v>1</c:v>
                </c:pt>
                <c:pt idx="7">
                  <c:v>0</c:v>
                </c:pt>
                <c:pt idx="8">
                  <c:v>1</c:v>
                </c:pt>
                <c:pt idx="9">
                  <c:v>36</c:v>
                </c:pt>
              </c:numCache>
            </c:numRef>
          </c:val>
        </c:ser>
        <c:ser>
          <c:idx val="1"/>
          <c:order val="1"/>
          <c:tx>
            <c:strRef>
              <c:f>Sheet1!$C$1</c:f>
              <c:strCache>
                <c:ptCount val="1"/>
                <c:pt idx="0">
                  <c:v>2030</c:v>
                </c:pt>
              </c:strCache>
            </c:strRef>
          </c:tx>
          <c:invertIfNegative val="0"/>
          <c:cat>
            <c:strRef>
              <c:f>Sheet1!$A$2:$A$11</c:f>
              <c:strCache>
                <c:ptCount val="10"/>
                <c:pt idx="0">
                  <c:v>OECD Pacific</c:v>
                </c:pt>
                <c:pt idx="1">
                  <c:v>OECD North America</c:v>
                </c:pt>
                <c:pt idx="2">
                  <c:v>China</c:v>
                </c:pt>
                <c:pt idx="3">
                  <c:v>Latin America</c:v>
                </c:pt>
                <c:pt idx="4">
                  <c:v>Non OECD Asia</c:v>
                </c:pt>
                <c:pt idx="5">
                  <c:v>India</c:v>
                </c:pt>
                <c:pt idx="6">
                  <c:v>Eastern Europe/Eurasia</c:v>
                </c:pt>
                <c:pt idx="7">
                  <c:v>Middle East</c:v>
                </c:pt>
                <c:pt idx="8">
                  <c:v>Africa</c:v>
                </c:pt>
                <c:pt idx="9">
                  <c:v>OECD Europe</c:v>
                </c:pt>
              </c:strCache>
            </c:strRef>
          </c:cat>
          <c:val>
            <c:numRef>
              <c:f>Sheet1!$C$2:$C$11</c:f>
              <c:numCache>
                <c:formatCode>General</c:formatCode>
                <c:ptCount val="10"/>
                <c:pt idx="0">
                  <c:v>3</c:v>
                </c:pt>
                <c:pt idx="1">
                  <c:v>20</c:v>
                </c:pt>
                <c:pt idx="2">
                  <c:v>30</c:v>
                </c:pt>
                <c:pt idx="3">
                  <c:v>2</c:v>
                </c:pt>
                <c:pt idx="4">
                  <c:v>2</c:v>
                </c:pt>
                <c:pt idx="5">
                  <c:v>7</c:v>
                </c:pt>
                <c:pt idx="6">
                  <c:v>2</c:v>
                </c:pt>
                <c:pt idx="7">
                  <c:v>1</c:v>
                </c:pt>
                <c:pt idx="8">
                  <c:v>1</c:v>
                </c:pt>
                <c:pt idx="9">
                  <c:v>32</c:v>
                </c:pt>
              </c:numCache>
            </c:numRef>
          </c:val>
        </c:ser>
        <c:dLbls>
          <c:showLegendKey val="0"/>
          <c:showVal val="0"/>
          <c:showCatName val="0"/>
          <c:showSerName val="0"/>
          <c:showPercent val="0"/>
          <c:showBubbleSize val="0"/>
        </c:dLbls>
        <c:gapWidth val="150"/>
        <c:axId val="134243840"/>
        <c:axId val="165615808"/>
      </c:barChart>
      <c:catAx>
        <c:axId val="134243840"/>
        <c:scaling>
          <c:orientation val="minMax"/>
        </c:scaling>
        <c:delete val="0"/>
        <c:axPos val="b"/>
        <c:majorTickMark val="out"/>
        <c:minorTickMark val="none"/>
        <c:tickLblPos val="nextTo"/>
        <c:crossAx val="165615808"/>
        <c:crosses val="autoZero"/>
        <c:auto val="1"/>
        <c:lblAlgn val="ctr"/>
        <c:lblOffset val="100"/>
        <c:noMultiLvlLbl val="0"/>
      </c:catAx>
      <c:valAx>
        <c:axId val="165615808"/>
        <c:scaling>
          <c:orientation val="minMax"/>
        </c:scaling>
        <c:delete val="0"/>
        <c:axPos val="l"/>
        <c:majorGridlines/>
        <c:numFmt formatCode="General" sourceLinked="1"/>
        <c:majorTickMark val="out"/>
        <c:minorTickMark val="none"/>
        <c:tickLblPos val="nextTo"/>
        <c:crossAx val="1342438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Sheet3!$A$1</c:f>
              <c:strCache>
                <c:ptCount val="1"/>
                <c:pt idx="0">
                  <c:v>Year</c:v>
                </c:pt>
              </c:strCache>
            </c:strRef>
          </c:tx>
          <c:cat>
            <c:numRef>
              <c:f>Sheet3!$A$2:$A$8</c:f>
              <c:numCache>
                <c:formatCode>General</c:formatCode>
                <c:ptCount val="7"/>
                <c:pt idx="0">
                  <c:v>1997</c:v>
                </c:pt>
                <c:pt idx="1">
                  <c:v>2000</c:v>
                </c:pt>
                <c:pt idx="2">
                  <c:v>2003</c:v>
                </c:pt>
                <c:pt idx="3">
                  <c:v>2006</c:v>
                </c:pt>
                <c:pt idx="4">
                  <c:v>2009</c:v>
                </c:pt>
                <c:pt idx="5">
                  <c:v>2012</c:v>
                </c:pt>
                <c:pt idx="6">
                  <c:v>2014</c:v>
                </c:pt>
              </c:numCache>
            </c:numRef>
          </c:cat>
          <c:val>
            <c:numRef>
              <c:f>Sheet3!$A$2:$A$8</c:f>
              <c:numCache>
                <c:formatCode>General</c:formatCode>
                <c:ptCount val="7"/>
                <c:pt idx="0">
                  <c:v>1997</c:v>
                </c:pt>
                <c:pt idx="1">
                  <c:v>2000</c:v>
                </c:pt>
                <c:pt idx="2">
                  <c:v>2003</c:v>
                </c:pt>
                <c:pt idx="3">
                  <c:v>2006</c:v>
                </c:pt>
                <c:pt idx="4">
                  <c:v>2009</c:v>
                </c:pt>
                <c:pt idx="5">
                  <c:v>2012</c:v>
                </c:pt>
                <c:pt idx="6">
                  <c:v>2014</c:v>
                </c:pt>
              </c:numCache>
            </c:numRef>
          </c:val>
          <c:smooth val="0"/>
        </c:ser>
        <c:ser>
          <c:idx val="1"/>
          <c:order val="1"/>
          <c:tx>
            <c:strRef>
              <c:f>Sheet3!$B$1</c:f>
              <c:strCache>
                <c:ptCount val="1"/>
                <c:pt idx="0">
                  <c:v>Wind Capacity</c:v>
                </c:pt>
              </c:strCache>
            </c:strRef>
          </c:tx>
          <c:cat>
            <c:numRef>
              <c:f>Sheet3!$A$2:$A$8</c:f>
              <c:numCache>
                <c:formatCode>General</c:formatCode>
                <c:ptCount val="7"/>
                <c:pt idx="0">
                  <c:v>1997</c:v>
                </c:pt>
                <c:pt idx="1">
                  <c:v>2000</c:v>
                </c:pt>
                <c:pt idx="2">
                  <c:v>2003</c:v>
                </c:pt>
                <c:pt idx="3">
                  <c:v>2006</c:v>
                </c:pt>
                <c:pt idx="4">
                  <c:v>2009</c:v>
                </c:pt>
                <c:pt idx="5">
                  <c:v>2012</c:v>
                </c:pt>
                <c:pt idx="6">
                  <c:v>2014</c:v>
                </c:pt>
              </c:numCache>
            </c:numRef>
          </c:cat>
          <c:val>
            <c:numRef>
              <c:f>Sheet3!$B$2:$B$8</c:f>
              <c:numCache>
                <c:formatCode>General</c:formatCode>
                <c:ptCount val="7"/>
                <c:pt idx="0">
                  <c:v>7600</c:v>
                </c:pt>
                <c:pt idx="1">
                  <c:v>17400</c:v>
                </c:pt>
                <c:pt idx="2">
                  <c:v>39431</c:v>
                </c:pt>
                <c:pt idx="3">
                  <c:v>73959</c:v>
                </c:pt>
                <c:pt idx="4">
                  <c:v>159089</c:v>
                </c:pt>
                <c:pt idx="5">
                  <c:v>283068</c:v>
                </c:pt>
                <c:pt idx="6">
                  <c:v>369553</c:v>
                </c:pt>
              </c:numCache>
            </c:numRef>
          </c:val>
          <c:smooth val="0"/>
        </c:ser>
        <c:dLbls>
          <c:showLegendKey val="0"/>
          <c:showVal val="0"/>
          <c:showCatName val="0"/>
          <c:showSerName val="0"/>
          <c:showPercent val="0"/>
          <c:showBubbleSize val="0"/>
        </c:dLbls>
        <c:marker val="1"/>
        <c:smooth val="0"/>
        <c:axId val="115300352"/>
        <c:axId val="188067776"/>
      </c:lineChart>
      <c:catAx>
        <c:axId val="115300352"/>
        <c:scaling>
          <c:orientation val="minMax"/>
        </c:scaling>
        <c:delete val="0"/>
        <c:axPos val="b"/>
        <c:numFmt formatCode="General" sourceLinked="1"/>
        <c:majorTickMark val="out"/>
        <c:minorTickMark val="none"/>
        <c:tickLblPos val="nextTo"/>
        <c:crossAx val="188067776"/>
        <c:crosses val="autoZero"/>
        <c:auto val="1"/>
        <c:lblAlgn val="ctr"/>
        <c:lblOffset val="100"/>
        <c:noMultiLvlLbl val="0"/>
      </c:catAx>
      <c:valAx>
        <c:axId val="188067776"/>
        <c:scaling>
          <c:orientation val="minMax"/>
        </c:scaling>
        <c:delete val="0"/>
        <c:axPos val="l"/>
        <c:majorGridlines/>
        <c:numFmt formatCode="General" sourceLinked="1"/>
        <c:majorTickMark val="out"/>
        <c:minorTickMark val="none"/>
        <c:tickLblPos val="nextTo"/>
        <c:crossAx val="115300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34E6-986C-48F9-A86D-BE261532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windenergy</dc:creator>
  <cp:lastModifiedBy>windenergy</cp:lastModifiedBy>
  <cp:revision>10</cp:revision>
  <cp:lastPrinted>2015-07-14T14:16:00Z</cp:lastPrinted>
  <dcterms:created xsi:type="dcterms:W3CDTF">2015-07-14T13:24:00Z</dcterms:created>
  <dcterms:modified xsi:type="dcterms:W3CDTF">2015-07-14T14:17:00Z</dcterms:modified>
</cp:coreProperties>
</file>